
<file path=[Content_Types].xml><?xml version="1.0" encoding="utf-8"?>
<Types xmlns="http://schemas.openxmlformats.org/package/2006/content-types">
  <Default Extension="jpeg" ContentType="image/jpeg"/>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header2.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bidi w:val="0"/>
        <w:numPr>
          <w:ilvl w:val="0"/>
          <w:numId w:val="0"/>
        </w:numPr>
        <w:jc w:val="center"/>
        <w:spacing w:lineRule="auto" w:line="240" w:before="0" w:after="0"/>
        <w:pageBreakBefore w:val="0"/>
        <w:ind w:right="0" w:firstLine="0"/>
        <w:rPr>
          <w:spacing w:val="0"/>
          <w:i w:val="0"/>
          <w:b w:val="1"/>
          <w:imprint w:val="0"/>
          <w:emboss w:val="0"/>
          <w:outline w:val="0"/>
          <w:shadow w:val="0"/>
          <w:color w:val="auto"/>
          <w:position w:val="0"/>
          <w:sz w:val="32"/>
          <w:szCs w:val="32"/>
          <w:u w:val="none"/>
          <w:smallCaps w:val="0"/>
          <w:rFonts w:ascii="宋体" w:eastAsia="Times New Roman" w:hAnsi="Times New Roman" w:hint="default"/>
        </w:rPr>
        <w:wordWrap w:val="off"/>
        <w:snapToGrid w:val="on"/>
        <w:autoSpaceDE w:val="1"/>
        <w:autoSpaceDN w:val="1"/>
      </w:pPr>
      <w:r>
        <w:rPr>
          <w:spacing w:val="0"/>
          <w:i w:val="0"/>
          <w:b w:val="1"/>
          <w:imprint w:val="0"/>
          <w:emboss w:val="0"/>
          <w:outline w:val="0"/>
          <w:shadow w:val="0"/>
          <w:color w:val="auto"/>
          <w:position w:val="0"/>
          <w:sz w:val="32"/>
          <w:szCs w:val="32"/>
          <w:u w:val="none"/>
          <w:smallCaps w:val="0"/>
          <w:rFonts w:ascii="宋体" w:eastAsia="Times New Roman" w:hAnsi="Times New Roman" w:hint="default"/>
        </w:rPr>
        <w:t>社会力量参与潍坊抗灾减灾协作平台项目协议书</w:t>
      </w:r>
    </w:p>
    <w:p>
      <w:pPr>
        <w:numPr>
          <w:ilvl w:val="0"/>
          <w:numId w:val="0"/>
        </w:numPr>
        <w:jc w:val="both"/>
        <w:spacing w:lineRule="auto" w:line="240" w:before="100" w:after="0"/>
        <w:ind w:right="0" w:firstLine="0"/>
        <w:rPr>
          <w:color w:val="auto"/>
          <w:position w:val="0"/>
          <w:sz w:val="24"/>
          <w:szCs w:val="24"/>
          <w:rFonts w:ascii="宋体" w:eastAsia="宋体" w:hAnsi="宋体" w:hint="default"/>
        </w:rPr>
        <w:autoSpaceDE w:val="1"/>
        <w:autoSpaceDN w:val="1"/>
      </w:pPr>
      <w:r>
        <w:rPr>
          <w:color w:val="auto"/>
          <w:position w:val="0"/>
          <w:sz w:val="24"/>
          <w:szCs w:val="24"/>
          <w:rFonts w:ascii="宋体" w:eastAsia="Times New Roman" w:hAnsi="Times New Roman" w:hint="default"/>
        </w:rPr>
        <w:t>甲方：福建省正荣公益基金会</w:t>
      </w:r>
    </w:p>
    <w:p>
      <w:pPr>
        <w:numPr>
          <w:ilvl w:val="0"/>
          <w:numId w:val="0"/>
        </w:numPr>
        <w:jc w:val="both"/>
        <w:spacing w:lineRule="auto" w:line="240" w:before="100" w:after="0"/>
        <w:ind w:right="0" w:firstLine="480"/>
        <w:rPr>
          <w:color w:val="auto"/>
          <w:position w:val="0"/>
          <w:sz w:val="24"/>
          <w:szCs w:val="24"/>
          <w:rFonts w:ascii="宋体" w:eastAsia="宋体" w:hAnsi="宋体" w:hint="default"/>
        </w:rPr>
        <w:autoSpaceDE w:val="1"/>
        <w:autoSpaceDN w:val="1"/>
      </w:pPr>
      <w:r>
        <w:rPr>
          <w:color w:val="auto"/>
          <w:position w:val="0"/>
          <w:sz w:val="24"/>
          <w:szCs w:val="24"/>
          <w:rFonts w:ascii="宋体" w:eastAsia="Times New Roman" w:hAnsi="Times New Roman" w:hint="default"/>
        </w:rPr>
        <w:t>法定代表人：欧国耀</w:t>
      </w:r>
    </w:p>
    <w:p>
      <w:pPr>
        <w:numPr>
          <w:ilvl w:val="0"/>
          <w:numId w:val="0"/>
        </w:numPr>
        <w:jc w:val="both"/>
        <w:spacing w:lineRule="auto" w:line="240" w:before="100" w:after="0"/>
        <w:ind w:right="0" w:firstLine="480"/>
        <w:rPr>
          <w:color w:val="auto"/>
          <w:position w:val="0"/>
          <w:sz w:val="24"/>
          <w:szCs w:val="24"/>
          <w:rFonts w:ascii="宋体" w:eastAsia="宋体" w:hAnsi="宋体" w:hint="default"/>
        </w:rPr>
        <w:autoSpaceDE w:val="1"/>
        <w:autoSpaceDN w:val="1"/>
      </w:pPr>
      <w:r>
        <w:rPr>
          <w:color w:val="auto"/>
          <w:position w:val="0"/>
          <w:sz w:val="24"/>
          <w:szCs w:val="24"/>
          <w:rFonts w:ascii="宋体" w:eastAsia="Times New Roman" w:hAnsi="Times New Roman" w:hint="default"/>
        </w:rPr>
        <w:t xml:space="preserve">地址：福建省福州市仓山区林洲路8号世欧彼岸城A区9栋1701                               </w:t>
      </w:r>
    </w:p>
    <w:p>
      <w:pPr>
        <w:numPr>
          <w:ilvl w:val="0"/>
          <w:numId w:val="0"/>
        </w:numPr>
        <w:jc w:val="both"/>
        <w:spacing w:lineRule="auto" w:line="240" w:before="100" w:after="0"/>
        <w:ind w:right="0" w:firstLine="480"/>
        <w:rPr>
          <w:color w:val="auto"/>
          <w:position w:val="0"/>
          <w:sz w:val="24"/>
          <w:szCs w:val="24"/>
          <w:rFonts w:ascii="宋体" w:eastAsia="宋体" w:hAnsi="宋体" w:hint="default"/>
        </w:rPr>
        <w:autoSpaceDE w:val="1"/>
        <w:autoSpaceDN w:val="1"/>
      </w:pPr>
      <w:r>
        <w:rPr>
          <w:color w:val="auto"/>
          <w:position w:val="0"/>
          <w:sz w:val="24"/>
          <w:szCs w:val="24"/>
          <w:rFonts w:ascii="宋体" w:eastAsia="Times New Roman" w:hAnsi="Times New Roman" w:hint="default"/>
        </w:rPr>
        <w:t>联系电话：0731-84802229</w:t>
      </w:r>
    </w:p>
    <w:p>
      <w:pPr>
        <w:numPr>
          <w:ilvl w:val="0"/>
          <w:numId w:val="0"/>
        </w:numPr>
        <w:jc w:val="both"/>
        <w:spacing w:lineRule="auto" w:line="240" w:before="100" w:after="0"/>
        <w:ind w:right="0" w:firstLine="480"/>
        <w:rPr>
          <w:color w:val="auto"/>
          <w:position w:val="0"/>
          <w:sz w:val="24"/>
          <w:szCs w:val="24"/>
          <w:rFonts w:ascii="宋体" w:eastAsia="宋体" w:hAnsi="宋体" w:hint="default"/>
        </w:rPr>
        <w:autoSpaceDE w:val="1"/>
        <w:autoSpaceDN w:val="1"/>
      </w:pPr>
    </w:p>
    <w:p>
      <w:pPr>
        <w:bidi w:val="0"/>
        <w:numPr>
          <w:ilvl w:val="0"/>
          <w:numId w:val="0"/>
        </w:numPr>
        <w:jc w:val="both"/>
        <w:spacing w:lineRule="auto" w:line="276" w:before="0" w:after="0"/>
        <w:pageBreakBefore w:val="0"/>
        <w:ind w:right="0" w:firstLine="0"/>
        <w:rPr>
          <w:rStyle w:val="PO7"/>
          <w:spacing w:val="0"/>
          <w:b w:val="0"/>
          <w:color w:val="auto"/>
          <w:position w:val="0"/>
          <w:sz w:val="21"/>
          <w:szCs w:val="21"/>
          <w:rFonts w:ascii="黑体" w:eastAsia="黑体" w:hAnsi="黑体" w:hint="default"/>
        </w:rPr>
        <w:wordWrap w:val="off"/>
        <w:snapToGrid w:val="on"/>
        <w:autoSpaceDE w:val="1"/>
        <w:autoSpaceDN w:val="1"/>
      </w:pPr>
      <w:r>
        <w:rPr>
          <w:color w:val="auto"/>
          <w:position w:val="0"/>
          <w:sz w:val="24"/>
          <w:szCs w:val="24"/>
          <w:rFonts w:ascii="宋体" w:eastAsia="Times New Roman" w:hAnsi="Times New Roman" w:hint="default"/>
        </w:rPr>
        <w:t>乙方：</w:t>
      </w:r>
      <w:r>
        <w:rPr>
          <w:spacing w:val="0"/>
          <w:color w:val="auto"/>
          <w:position w:val="0"/>
          <w:sz w:val="24"/>
          <w:szCs w:val="24"/>
          <w:smallCaps w:val="0"/>
          <w:rFonts w:ascii="宋体" w:eastAsia="Times New Roman" w:hAnsi="Times New Roman" w:hint="default"/>
        </w:rPr>
        <w:t xml:space="preserve"> </w:t>
      </w:r>
      <w:r>
        <w:rPr>
          <w:spacing w:val="0"/>
          <w:b w:val="0"/>
          <w:color w:val="auto"/>
          <w:position w:val="0"/>
          <w:sz w:val="24"/>
          <w:szCs w:val="24"/>
          <w:smallCaps w:val="0"/>
          <w:rFonts w:ascii="宋体" w:eastAsia="Times New Roman" w:hAnsi="Times New Roman" w:hint="default"/>
        </w:rPr>
        <w:t>山东省社会创新发展与研究中心</w:t>
      </w:r>
    </w:p>
    <w:p>
      <w:pPr>
        <w:numPr>
          <w:ilvl w:val="0"/>
          <w:numId w:val="0"/>
        </w:numPr>
        <w:jc w:val="both"/>
        <w:spacing w:lineRule="auto" w:line="240" w:before="100" w:after="0"/>
        <w:ind w:right="0" w:firstLine="480"/>
        <w:rPr>
          <w:spacing w:val="0"/>
          <w:color w:val="auto"/>
          <w:position w:val="0"/>
          <w:sz w:val="24"/>
          <w:szCs w:val="24"/>
          <w:smallCaps w:val="0"/>
          <w:rFonts w:ascii="宋体" w:eastAsia="Times New Roman" w:hAnsi="Times New Roman" w:hint="default"/>
        </w:rPr>
        <w:autoSpaceDE w:val="1"/>
        <w:autoSpaceDN w:val="1"/>
      </w:pPr>
      <w:r>
        <w:rPr>
          <w:spacing w:val="0"/>
          <w:color w:val="auto"/>
          <w:position w:val="0"/>
          <w:sz w:val="24"/>
          <w:szCs w:val="24"/>
          <w:smallCaps w:val="0"/>
          <w:rFonts w:ascii="宋体" w:eastAsia="Times New Roman" w:hAnsi="Times New Roman" w:hint="default"/>
        </w:rPr>
        <w:t>项目负责人：</w:t>
      </w:r>
      <w:r>
        <w:rPr>
          <w:spacing w:val="0"/>
          <w:b w:val="0"/>
          <w:color w:val="auto"/>
          <w:position w:val="0"/>
          <w:sz w:val="24"/>
          <w:szCs w:val="24"/>
          <w:smallCaps w:val="0"/>
          <w:rFonts w:ascii="宋体" w:eastAsia="Times New Roman" w:hAnsi="Times New Roman" w:hint="default"/>
        </w:rPr>
        <w:t>孙志达</w:t>
      </w:r>
    </w:p>
    <w:p>
      <w:pPr>
        <w:numPr>
          <w:ilvl w:val="0"/>
          <w:numId w:val="0"/>
        </w:numPr>
        <w:jc w:val="both"/>
        <w:spacing w:lineRule="auto" w:line="240" w:before="100" w:after="0"/>
        <w:ind w:right="0" w:firstLine="480"/>
        <w:rPr>
          <w:spacing w:val="0"/>
          <w:color w:val="auto"/>
          <w:position w:val="0"/>
          <w:sz w:val="24"/>
          <w:szCs w:val="24"/>
          <w:smallCaps w:val="0"/>
          <w:rFonts w:ascii="宋体" w:eastAsia="Times New Roman" w:hAnsi="Times New Roman" w:hint="default"/>
        </w:rPr>
        <w:autoSpaceDE w:val="1"/>
        <w:autoSpaceDN w:val="1"/>
      </w:pPr>
      <w:r>
        <w:rPr>
          <w:spacing w:val="0"/>
          <w:color w:val="auto"/>
          <w:position w:val="0"/>
          <w:sz w:val="24"/>
          <w:szCs w:val="24"/>
          <w:smallCaps w:val="0"/>
          <w:rFonts w:ascii="宋体" w:eastAsia="Times New Roman" w:hAnsi="Times New Roman" w:hint="default"/>
        </w:rPr>
        <w:t xml:space="preserve">地址： </w:t>
      </w:r>
      <w:r>
        <w:rPr>
          <w:spacing w:val="0"/>
          <w:b w:val="0"/>
          <w:color w:val="auto"/>
          <w:position w:val="0"/>
          <w:sz w:val="24"/>
          <w:szCs w:val="24"/>
          <w:smallCaps w:val="0"/>
          <w:rFonts w:ascii="宋体" w:eastAsia="Times New Roman" w:hAnsi="Times New Roman" w:hint="default"/>
        </w:rPr>
        <w:t>山东济南市中区万寿路2号</w:t>
      </w:r>
    </w:p>
    <w:p>
      <w:pPr>
        <w:numPr>
          <w:ilvl w:val="0"/>
          <w:numId w:val="0"/>
        </w:numPr>
        <w:jc w:val="both"/>
        <w:spacing w:lineRule="auto" w:line="240" w:before="100" w:after="0"/>
        <w:ind w:right="0" w:firstLine="360"/>
        <w:rPr>
          <w:spacing w:val="0"/>
          <w:color w:val="auto"/>
          <w:position w:val="0"/>
          <w:sz w:val="24"/>
          <w:szCs w:val="24"/>
          <w:smallCaps w:val="0"/>
          <w:rFonts w:ascii="宋体" w:eastAsia="Times New Roman" w:hAnsi="Times New Roman" w:hint="default"/>
        </w:rPr>
        <w:autoSpaceDE w:val="1"/>
        <w:autoSpaceDN w:val="1"/>
      </w:pPr>
      <w:r>
        <w:rPr>
          <w:spacing w:val="0"/>
          <w:color w:val="auto"/>
          <w:position w:val="0"/>
          <w:sz w:val="24"/>
          <w:szCs w:val="24"/>
          <w:smallCaps w:val="0"/>
          <w:rFonts w:ascii="宋体" w:eastAsia="Times New Roman" w:hAnsi="Times New Roman" w:hint="default"/>
        </w:rPr>
        <w:t xml:space="preserve"> 联系电话：</w:t>
      </w:r>
      <w:r>
        <w:rPr>
          <w:spacing w:val="0"/>
          <w:b w:val="0"/>
          <w:color w:val="auto"/>
          <w:position w:val="0"/>
          <w:sz w:val="24"/>
          <w:szCs w:val="24"/>
          <w:smallCaps w:val="0"/>
          <w:rFonts w:ascii="宋体" w:eastAsia="Times New Roman" w:hAnsi="Times New Roman" w:hint="default"/>
        </w:rPr>
        <w:t>18953600300</w:t>
      </w:r>
    </w:p>
    <w:p>
      <w:pPr>
        <w:numPr>
          <w:ilvl w:val="0"/>
          <w:numId w:val="0"/>
        </w:numPr>
        <w:jc w:val="both"/>
        <w:spacing w:lineRule="auto" w:line="360" w:before="120" w:after="240"/>
        <w:ind w:right="0" w:firstLine="943"/>
        <w:rPr>
          <w:spacing w:val="0"/>
          <w:b w:val="0"/>
          <w:color w:val="auto"/>
          <w:position w:val="0"/>
          <w:sz w:val="24"/>
          <w:szCs w:val="24"/>
          <w:smallCaps w:val="0"/>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甲乙双方经过友好协商，就甲方支持乙方</w:t>
      </w:r>
      <w:r>
        <w:rPr>
          <w:spacing w:val="0"/>
          <w:color w:val="auto"/>
          <w:position w:val="0"/>
          <w:sz w:val="24"/>
          <w:szCs w:val="24"/>
          <w:smallCaps w:val="0"/>
          <w:rFonts w:ascii="宋体" w:eastAsia="Times New Roman" w:hAnsi="Times New Roman" w:hint="default"/>
        </w:rPr>
        <w:t>执行</w:t>
      </w:r>
      <w:r>
        <w:rPr>
          <w:spacing w:val="0"/>
          <w:b w:val="0"/>
          <w:color w:val="auto"/>
          <w:position w:val="0"/>
          <w:sz w:val="24"/>
          <w:szCs w:val="24"/>
          <w:u w:val="single"/>
          <w:smallCaps w:val="0"/>
          <w:rFonts w:ascii="宋体" w:eastAsia="Times New Roman" w:hAnsi="Times New Roman" w:hint="default"/>
        </w:rPr>
        <w:t>社会力量参与潍坊抗灾减</w:t>
      </w:r>
      <w:r>
        <w:rPr>
          <w:spacing w:val="0"/>
          <w:b w:val="0"/>
          <w:color w:val="auto"/>
          <w:position w:val="0"/>
          <w:sz w:val="24"/>
          <w:szCs w:val="24"/>
          <w:u w:val="single"/>
          <w:smallCaps w:val="0"/>
          <w:rFonts w:ascii="宋体" w:eastAsia="Times New Roman" w:hAnsi="Times New Roman" w:hint="default"/>
        </w:rPr>
        <w:t>灾协作平台</w:t>
      </w:r>
      <w:r>
        <w:rPr>
          <w:spacing w:val="0"/>
          <w:color w:val="auto"/>
          <w:position w:val="0"/>
          <w:sz w:val="24"/>
          <w:szCs w:val="24"/>
          <w:smallCaps w:val="0"/>
          <w:rFonts w:ascii="宋体" w:eastAsia="Times New Roman" w:hAnsi="Times New Roman" w:hint="default"/>
        </w:rPr>
        <w:t>相关事项达成如下协议：</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一、甲乙双方在公平平等，相互信任、相互尊重、诚实信用的基础上开展工</w:t>
      </w:r>
      <w:r>
        <w:rPr>
          <w:color w:val="auto"/>
          <w:position w:val="0"/>
          <w:sz w:val="24"/>
          <w:szCs w:val="24"/>
          <w:rFonts w:ascii="宋体" w:eastAsia="Times New Roman" w:hAnsi="Times New Roman" w:hint="default"/>
        </w:rPr>
        <w:t>作；</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二、项目情况说明：</w:t>
      </w:r>
      <w:r>
        <w:rPr>
          <w:color w:val="auto"/>
          <w:position w:val="0"/>
          <w:sz w:val="24"/>
          <w:szCs w:val="24"/>
          <w:rFonts w:ascii="宋体" w:eastAsia="宋体" w:hAnsi="宋体" w:hint="default"/>
        </w:rPr>
        <w:t xml:space="preserve"> </w:t>
      </w:r>
    </w:p>
    <w:p>
      <w:pPr>
        <w:numPr>
          <w:ilvl w:val="0"/>
          <w:numId w:val="0"/>
        </w:numPr>
        <w:jc w:val="left"/>
        <w:spacing w:lineRule="auto" w:line="360" w:before="0" w:after="0"/>
        <w:ind w:right="0" w:firstLine="561"/>
        <w:rPr>
          <w:rStyle w:val="PO7"/>
          <w:spacing w:val="0"/>
          <w:b w:val="0"/>
          <w:color w:val="auto"/>
          <w:position w:val="0"/>
          <w:sz w:val="24"/>
          <w:szCs w:val="24"/>
          <w:rFonts w:ascii="宋体" w:eastAsia="宋体" w:hAnsi="宋体" w:hint="default"/>
        </w:rPr>
        <w:autoSpaceDE w:val="0"/>
        <w:autoSpaceDN w:val="0"/>
      </w:pPr>
      <w:r>
        <w:rPr>
          <w:color w:val="auto"/>
          <w:position w:val="0"/>
          <w:sz w:val="24"/>
          <w:szCs w:val="24"/>
          <w:rFonts w:ascii="宋体" w:eastAsia="Times New Roman" w:hAnsi="Times New Roman" w:hint="default"/>
        </w:rPr>
        <w:t>由于</w:t>
      </w:r>
      <w:r>
        <w:rPr>
          <w:rStyle w:val="PO7"/>
          <w:spacing w:val="0"/>
          <w:b w:val="0"/>
          <w:color w:val="auto"/>
          <w:position w:val="0"/>
          <w:sz w:val="24"/>
          <w:szCs w:val="24"/>
          <w:rFonts w:ascii="宋体" w:eastAsia="宋体" w:hAnsi="宋体" w:hint="default"/>
        </w:rPr>
        <w:t>受今年第18号台风“温比亚”影响，潍坊市普降大暴雨，灾情严重，</w:t>
      </w:r>
      <w:r>
        <w:rPr>
          <w:rStyle w:val="PO7"/>
          <w:spacing w:val="0"/>
          <w:b w:val="0"/>
          <w:color w:val="auto"/>
          <w:position w:val="0"/>
          <w:sz w:val="24"/>
          <w:szCs w:val="24"/>
          <w:rFonts w:ascii="宋体" w:eastAsia="宋体" w:hAnsi="宋体" w:hint="default"/>
        </w:rPr>
        <w:t>山东省民政厅、爱心企业及个人不断向受灾地区捐赠生活物资，中国福利基金会、</w:t>
      </w:r>
      <w:r>
        <w:rPr>
          <w:rStyle w:val="PO7"/>
          <w:spacing w:val="0"/>
          <w:b w:val="0"/>
          <w:color w:val="auto"/>
          <w:position w:val="0"/>
          <w:sz w:val="24"/>
          <w:szCs w:val="24"/>
          <w:rFonts w:ascii="宋体" w:eastAsia="宋体" w:hAnsi="宋体" w:hint="default"/>
        </w:rPr>
        <w:t>壹基金等国内专业救援力量也不断的赶往或已经在受灾地区开展救援工作；急</w:t>
      </w:r>
      <w:r>
        <w:rPr>
          <w:rStyle w:val="PO7"/>
          <w:spacing w:val="0"/>
          <w:b w:val="0"/>
          <w:color w:val="auto"/>
          <w:position w:val="0"/>
          <w:sz w:val="24"/>
          <w:szCs w:val="24"/>
          <w:rFonts w:ascii="宋体" w:eastAsia="宋体" w:hAnsi="宋体" w:hint="default"/>
        </w:rPr>
        <w:t>需建立社会参与救灾协作平台进行收集灾区信息、评估灾区所需的物资、救援力</w:t>
      </w:r>
      <w:r>
        <w:rPr>
          <w:rStyle w:val="PO7"/>
          <w:spacing w:val="0"/>
          <w:b w:val="0"/>
          <w:color w:val="auto"/>
          <w:position w:val="0"/>
          <w:sz w:val="24"/>
          <w:szCs w:val="24"/>
          <w:rFonts w:ascii="宋体" w:eastAsia="宋体" w:hAnsi="宋体" w:hint="default"/>
        </w:rPr>
        <w:t>量等，及时向外界发布救灾进展及灾区需求等，解决灾区与外界的信息不对称</w:t>
      </w:r>
      <w:r>
        <w:rPr>
          <w:rStyle w:val="PO7"/>
          <w:spacing w:val="0"/>
          <w:b w:val="0"/>
          <w:color w:val="auto"/>
          <w:position w:val="0"/>
          <w:sz w:val="24"/>
          <w:szCs w:val="24"/>
          <w:rFonts w:ascii="宋体" w:eastAsia="宋体" w:hAnsi="宋体" w:hint="default"/>
        </w:rPr>
        <w:t>问题。</w:t>
      </w:r>
    </w:p>
    <w:p>
      <w:pPr>
        <w:numPr>
          <w:ilvl w:val="0"/>
          <w:numId w:val="0"/>
        </w:numPr>
        <w:jc w:val="left"/>
        <w:spacing w:lineRule="auto" w:line="360" w:before="0" w:after="0"/>
        <w:ind w:right="0" w:firstLine="561"/>
        <w:rPr>
          <w:color w:val="auto"/>
          <w:position w:val="0"/>
          <w:sz w:val="24"/>
          <w:szCs w:val="24"/>
          <w:rFonts w:ascii="宋体" w:eastAsia="宋体" w:hAnsi="宋体" w:hint="default"/>
        </w:rPr>
        <w:autoSpaceDE w:val="0"/>
        <w:autoSpaceDN w:val="0"/>
      </w:pPr>
      <w:r>
        <w:rPr>
          <w:rStyle w:val="PO7"/>
          <w:spacing w:val="0"/>
          <w:b w:val="0"/>
          <w:color w:val="auto"/>
          <w:position w:val="0"/>
          <w:sz w:val="24"/>
          <w:szCs w:val="24"/>
          <w:rFonts w:ascii="宋体" w:eastAsia="宋体" w:hAnsi="宋体" w:hint="default"/>
        </w:rPr>
        <w:t>平台主要开展以下方面的工作：1.协助开展外来社会力量的信息登记和工</w:t>
      </w:r>
      <w:r>
        <w:rPr>
          <w:rStyle w:val="PO7"/>
          <w:spacing w:val="0"/>
          <w:b w:val="0"/>
          <w:color w:val="auto"/>
          <w:position w:val="0"/>
          <w:sz w:val="24"/>
          <w:szCs w:val="24"/>
          <w:rFonts w:ascii="宋体" w:eastAsia="宋体" w:hAnsi="宋体" w:hint="default"/>
        </w:rPr>
        <w:t>作引导；2.协助各公益基金会的援助物资与受灾乡镇的需求对接、物资发放等工</w:t>
      </w:r>
      <w:r>
        <w:rPr>
          <w:rStyle w:val="PO7"/>
          <w:spacing w:val="0"/>
          <w:b w:val="0"/>
          <w:color w:val="auto"/>
          <w:position w:val="0"/>
          <w:sz w:val="24"/>
          <w:szCs w:val="24"/>
          <w:rFonts w:ascii="宋体" w:eastAsia="宋体" w:hAnsi="宋体" w:hint="default"/>
        </w:rPr>
        <w:t>作；3.本地社会组织参与救灾工作的统筹和协调，协助本地个人志愿者招募及</w:t>
      </w:r>
      <w:r>
        <w:rPr>
          <w:rStyle w:val="PO7"/>
          <w:spacing w:val="0"/>
          <w:b w:val="0"/>
          <w:color w:val="auto"/>
          <w:position w:val="0"/>
          <w:sz w:val="24"/>
          <w:szCs w:val="24"/>
          <w:rFonts w:ascii="宋体" w:eastAsia="宋体" w:hAnsi="宋体" w:hint="default"/>
        </w:rPr>
        <w:t>工作分配；4.社会组织参与救灾工作的信息统计及汇报；5.配合和协助政府的</w:t>
      </w:r>
      <w:r>
        <w:rPr>
          <w:rStyle w:val="PO7"/>
          <w:spacing w:val="0"/>
          <w:b w:val="0"/>
          <w:color w:val="auto"/>
          <w:position w:val="0"/>
          <w:sz w:val="24"/>
          <w:szCs w:val="24"/>
          <w:rFonts w:ascii="宋体" w:eastAsia="宋体" w:hAnsi="宋体" w:hint="default"/>
        </w:rPr>
        <w:t>舆情导向工作；6.配合完成相关部门交办的其他工作。</w:t>
      </w:r>
    </w:p>
    <w:p>
      <w:pPr>
        <w:numPr>
          <w:ilvl w:val="0"/>
          <w:numId w:val="0"/>
        </w:numPr>
        <w:jc w:val="left"/>
        <w:spacing w:lineRule="auto" w:line="360" w:before="0" w:after="120"/>
        <w:ind w:right="0" w:firstLine="482"/>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项目期间为自</w:t>
      </w:r>
      <w:r>
        <w:rPr>
          <w:b w:val="1"/>
          <w:color w:val="auto"/>
          <w:position w:val="0"/>
          <w:sz w:val="24"/>
          <w:szCs w:val="24"/>
          <w:u w:val="single"/>
          <w:rFonts w:ascii="宋体" w:eastAsia="宋体" w:hAnsi="宋体" w:hint="default"/>
        </w:rPr>
        <w:t>201</w:t>
      </w:r>
      <w:r>
        <w:rPr>
          <w:b w:val="1"/>
          <w:color w:val="auto"/>
          <w:position w:val="0"/>
          <w:sz w:val="24"/>
          <w:szCs w:val="24"/>
          <w:u w:val="single"/>
          <w:rFonts w:ascii="宋体" w:eastAsia="Times New Roman" w:hAnsi="Times New Roman" w:hint="default"/>
        </w:rPr>
        <w:t>8</w:t>
      </w:r>
      <w:r>
        <w:rPr>
          <w:b w:val="1"/>
          <w:color w:val="auto"/>
          <w:position w:val="0"/>
          <w:sz w:val="24"/>
          <w:szCs w:val="24"/>
          <w:rFonts w:ascii="宋体" w:eastAsia="Times New Roman" w:hAnsi="Times New Roman" w:hint="default"/>
        </w:rPr>
        <w:t>年</w:t>
      </w:r>
      <w:r>
        <w:rPr>
          <w:b w:val="1"/>
          <w:color w:val="auto"/>
          <w:position w:val="0"/>
          <w:sz w:val="24"/>
          <w:szCs w:val="24"/>
          <w:u w:val="single"/>
          <w:rFonts w:ascii="宋体" w:eastAsia="Times New Roman" w:hAnsi="Times New Roman" w:hint="default"/>
        </w:rPr>
        <w:t>8</w:t>
      </w:r>
      <w:r>
        <w:rPr>
          <w:b w:val="1"/>
          <w:color w:val="auto"/>
          <w:position w:val="0"/>
          <w:sz w:val="24"/>
          <w:szCs w:val="24"/>
          <w:u w:val="single"/>
          <w:rFonts w:ascii="宋体" w:eastAsia="宋体" w:hAnsi="宋体" w:hint="default"/>
        </w:rPr>
        <w:t xml:space="preserve"> </w:t>
      </w:r>
      <w:r>
        <w:rPr>
          <w:b w:val="1"/>
          <w:color w:val="auto"/>
          <w:position w:val="0"/>
          <w:sz w:val="24"/>
          <w:szCs w:val="24"/>
          <w:rFonts w:ascii="宋体" w:eastAsia="Times New Roman" w:hAnsi="Times New Roman" w:hint="default"/>
        </w:rPr>
        <w:t>月</w:t>
      </w:r>
      <w:r>
        <w:rPr>
          <w:b w:val="1"/>
          <w:color w:val="auto"/>
          <w:position w:val="0"/>
          <w:sz w:val="24"/>
          <w:szCs w:val="24"/>
          <w:u w:val="single"/>
          <w:rFonts w:ascii="宋体" w:eastAsia="宋体" w:hAnsi="宋体" w:hint="default"/>
        </w:rPr>
        <w:t xml:space="preserve"> </w:t>
      </w:r>
      <w:r>
        <w:rPr>
          <w:b w:val="1"/>
          <w:color w:val="auto"/>
          <w:position w:val="0"/>
          <w:sz w:val="24"/>
          <w:szCs w:val="24"/>
          <w:u w:val="single"/>
          <w:rFonts w:ascii="宋体" w:eastAsia="Times New Roman" w:hAnsi="Times New Roman" w:hint="default"/>
        </w:rPr>
        <w:t>23</w:t>
      </w:r>
      <w:r>
        <w:rPr>
          <w:b w:val="1"/>
          <w:color w:val="auto"/>
          <w:position w:val="0"/>
          <w:sz w:val="24"/>
          <w:szCs w:val="24"/>
          <w:u w:val="single"/>
          <w:rFonts w:ascii="宋体" w:eastAsia="宋体" w:hAnsi="宋体" w:hint="default"/>
        </w:rPr>
        <w:t xml:space="preserve"> </w:t>
      </w:r>
      <w:r>
        <w:rPr>
          <w:b w:val="1"/>
          <w:color w:val="auto"/>
          <w:position w:val="0"/>
          <w:sz w:val="24"/>
          <w:szCs w:val="24"/>
          <w:rFonts w:ascii="宋体" w:eastAsia="Times New Roman" w:hAnsi="Times New Roman" w:hint="default"/>
        </w:rPr>
        <w:t>日起，至</w:t>
      </w:r>
      <w:r>
        <w:rPr>
          <w:b w:val="1"/>
          <w:color w:val="auto"/>
          <w:position w:val="0"/>
          <w:sz w:val="24"/>
          <w:szCs w:val="24"/>
          <w:u w:val="single"/>
          <w:rFonts w:ascii="宋体" w:eastAsia="宋体" w:hAnsi="宋体" w:hint="default"/>
        </w:rPr>
        <w:t>201</w:t>
      </w:r>
      <w:r>
        <w:rPr>
          <w:b w:val="1"/>
          <w:color w:val="auto"/>
          <w:position w:val="0"/>
          <w:sz w:val="24"/>
          <w:szCs w:val="24"/>
          <w:u w:val="single"/>
          <w:rFonts w:ascii="宋体" w:eastAsia="Times New Roman" w:hAnsi="Times New Roman" w:hint="default"/>
        </w:rPr>
        <w:t>8</w:t>
      </w:r>
      <w:r>
        <w:rPr>
          <w:b w:val="1"/>
          <w:color w:val="auto"/>
          <w:position w:val="0"/>
          <w:sz w:val="24"/>
          <w:szCs w:val="24"/>
          <w:rFonts w:ascii="宋体" w:eastAsia="Times New Roman" w:hAnsi="Times New Roman" w:hint="default"/>
        </w:rPr>
        <w:t>年</w:t>
      </w:r>
      <w:r>
        <w:rPr>
          <w:b w:val="1"/>
          <w:color w:val="auto"/>
          <w:position w:val="0"/>
          <w:sz w:val="24"/>
          <w:szCs w:val="24"/>
          <w:u w:val="single"/>
          <w:rFonts w:ascii="宋体" w:eastAsia="宋体" w:hAnsi="宋体" w:hint="default"/>
        </w:rPr>
        <w:t xml:space="preserve"> </w:t>
      </w:r>
      <w:r>
        <w:rPr>
          <w:b w:val="1"/>
          <w:color w:val="auto"/>
          <w:position w:val="0"/>
          <w:sz w:val="24"/>
          <w:szCs w:val="24"/>
          <w:u w:val="single"/>
          <w:rFonts w:ascii="宋体" w:eastAsia="Times New Roman" w:hAnsi="Times New Roman" w:hint="default"/>
        </w:rPr>
        <w:t>9</w:t>
      </w:r>
      <w:r>
        <w:rPr>
          <w:b w:val="1"/>
          <w:color w:val="auto"/>
          <w:position w:val="0"/>
          <w:sz w:val="24"/>
          <w:szCs w:val="24"/>
          <w:rFonts w:ascii="宋体" w:eastAsia="Times New Roman" w:hAnsi="Times New Roman" w:hint="default"/>
        </w:rPr>
        <w:t>月</w:t>
      </w:r>
      <w:r>
        <w:rPr>
          <w:b w:val="1"/>
          <w:color w:val="auto"/>
          <w:position w:val="0"/>
          <w:sz w:val="24"/>
          <w:szCs w:val="24"/>
          <w:u w:val="single"/>
          <w:rFonts w:ascii="宋体" w:eastAsia="宋体" w:hAnsi="宋体" w:hint="default"/>
        </w:rPr>
        <w:t xml:space="preserve"> </w:t>
      </w:r>
      <w:r>
        <w:rPr>
          <w:b w:val="1"/>
          <w:color w:val="auto"/>
          <w:position w:val="0"/>
          <w:sz w:val="24"/>
          <w:szCs w:val="24"/>
          <w:u w:val="single"/>
          <w:rFonts w:ascii="宋体" w:eastAsia="Times New Roman" w:hAnsi="Times New Roman" w:hint="default"/>
        </w:rPr>
        <w:t>15</w:t>
      </w:r>
      <w:r>
        <w:rPr>
          <w:b w:val="1"/>
          <w:color w:val="auto"/>
          <w:position w:val="0"/>
          <w:sz w:val="24"/>
          <w:szCs w:val="24"/>
          <w:rFonts w:ascii="宋体" w:eastAsia="Times New Roman" w:hAnsi="Times New Roman" w:hint="default"/>
        </w:rPr>
        <w:t>日止。</w:t>
      </w:r>
    </w:p>
    <w:p>
      <w:pPr>
        <w:numPr>
          <w:ilvl w:val="0"/>
          <w:numId w:val="1"/>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甲方为该项目提供资金支持，以甲乙双方协商通过的项目预算为准，甲</w:t>
      </w:r>
      <w:r>
        <w:rPr>
          <w:color w:val="auto"/>
          <w:position w:val="0"/>
          <w:sz w:val="24"/>
          <w:szCs w:val="24"/>
          <w:rFonts w:ascii="宋体" w:eastAsia="Times New Roman" w:hAnsi="Times New Roman" w:hint="default"/>
        </w:rPr>
        <w:t>方捐赠金额为人民币</w:t>
      </w:r>
      <w:r>
        <w:rPr>
          <w:b w:val="1"/>
          <w:color w:val="auto"/>
          <w:position w:val="0"/>
          <w:sz w:val="24"/>
          <w:szCs w:val="24"/>
          <w:u w:val="single"/>
          <w:rFonts w:ascii="宋体" w:eastAsia="宋体" w:hAnsi="宋体" w:hint="default"/>
        </w:rPr>
        <w:t xml:space="preserve"> </w:t>
      </w:r>
      <w:r>
        <w:rPr>
          <w:b w:val="1"/>
          <w:color w:val="auto"/>
          <w:position w:val="0"/>
          <w:sz w:val="24"/>
          <w:szCs w:val="24"/>
          <w:u w:val="single"/>
          <w:rFonts w:ascii="宋体" w:eastAsia="Times New Roman" w:hAnsi="Times New Roman" w:hint="default"/>
        </w:rPr>
        <w:t>贰万玖仟捌佰元整</w:t>
      </w:r>
      <w:r>
        <w:rPr>
          <w:color w:val="auto"/>
          <w:position w:val="0"/>
          <w:sz w:val="24"/>
          <w:szCs w:val="24"/>
          <w:rFonts w:ascii="宋体" w:eastAsia="Times New Roman" w:hAnsi="Times New Roman" w:hint="default"/>
        </w:rPr>
        <w:t>（小写金额</w:t>
      </w:r>
      <w:r>
        <w:rPr>
          <w:b w:val="1"/>
          <w:color w:val="auto"/>
          <w:position w:val="0"/>
          <w:sz w:val="24"/>
          <w:szCs w:val="24"/>
          <w:u w:val="single"/>
          <w:rFonts w:ascii="宋体" w:eastAsia="Times New Roman" w:hAnsi="Times New Roman" w:hint="default"/>
        </w:rPr>
        <w:t>29800.00</w:t>
      </w:r>
      <w:r>
        <w:rPr>
          <w:b w:val="1"/>
          <w:color w:val="auto"/>
          <w:position w:val="0"/>
          <w:sz w:val="24"/>
          <w:szCs w:val="24"/>
          <w:u w:val="single"/>
          <w:rFonts w:ascii="宋体" w:eastAsia="宋体" w:hAnsi="宋体" w:hint="default"/>
        </w:rPr>
        <w:t xml:space="preserve"> </w:t>
      </w:r>
      <w:r>
        <w:rPr>
          <w:b w:val="1"/>
          <w:color w:val="auto"/>
          <w:position w:val="0"/>
          <w:sz w:val="24"/>
          <w:szCs w:val="24"/>
          <w:u w:val="single"/>
          <w:rFonts w:ascii="宋体" w:eastAsia="Times New Roman" w:hAnsi="Times New Roman" w:hint="default"/>
        </w:rPr>
        <w:t>元</w:t>
      </w:r>
      <w:r>
        <w:rPr>
          <w:color w:val="auto"/>
          <w:position w:val="0"/>
          <w:sz w:val="24"/>
          <w:szCs w:val="24"/>
          <w:rFonts w:ascii="宋体" w:eastAsia="Times New Roman" w:hAnsi="Times New Roman" w:hint="default"/>
        </w:rPr>
        <w:t>）用于支持该项目。项目结束后，收到乙方提交的项目终期报告、相关活动的</w:t>
      </w:r>
      <w:r>
        <w:rPr>
          <w:color w:val="auto"/>
          <w:position w:val="0"/>
          <w:sz w:val="24"/>
          <w:szCs w:val="24"/>
          <w:rFonts w:ascii="宋体" w:eastAsia="Times New Roman" w:hAnsi="Times New Roman" w:hint="default"/>
        </w:rPr>
        <w:t>记录、图片、财务报表等资料。</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乙方账户信息：</w:t>
      </w: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8115" w:type="dxa"/>
        <w:tblLook w:val="0000A0" w:firstRow="1" w:lastRow="0" w:firstColumn="1" w:lastColumn="0" w:noHBand="0" w:noVBand="0"/>
        <w:tblLayout w:type="fixed"/>
      </w:tblPr>
      <w:tblGrid>
        <w:gridCol w:w="1401"/>
        <w:gridCol w:w="6714"/>
      </w:tblGrid>
      <w:tr>
        <w:trPr>
          <w:cnfStyle w:val="100000000000" w:firstRow="1" w:lastRow="0" w:firstColumn="0" w:lastColumn="0" w:oddVBand="0" w:evenVBand="0" w:oddHBand="0" w:evenHBand="0" w:firstRowFirstColumn="0" w:firstRowLastColumn="0" w:lastRowFirstColumn="0" w:lastRowLastColumn="0"/>
          <w:trHeight w:hRule="atleast" w:val="633"/>
          <w:hidden w:val="0"/>
        </w:trPr>
        <w:tc>
          <w:tcPr>
            <w:tcW w:type="dxa" w:w="1401"/>
            <w:cnfStyle w:val="101000001000" w:firstRow="1" w:lastRow="0" w:firstColumn="1" w:lastColumn="0" w:oddVBand="0" w:evenVBand="0" w:oddHBand="0" w:evenHBand="0" w:firstRowFirstColumn="1" w:firstRowLastColumn="0" w:lastRowFirstColumn="0" w:lastRowLastColumn="0"/>
            <w:vAlign w:val="top"/>
          </w:tcPr>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户</w:t>
            </w:r>
            <w:r>
              <w:rPr>
                <w:color w:val="auto"/>
                <w:position w:val="0"/>
                <w:sz w:val="24"/>
                <w:szCs w:val="24"/>
                <w:rFonts w:ascii="宋体" w:eastAsia="宋体" w:hAnsi="宋体" w:hint="default"/>
              </w:rPr>
              <w:t xml:space="preserve"> </w:t>
            </w:r>
            <w:r>
              <w:rPr>
                <w:color w:val="auto"/>
                <w:position w:val="0"/>
                <w:sz w:val="24"/>
                <w:szCs w:val="24"/>
                <w:rFonts w:ascii="宋体" w:eastAsia="Times New Roman" w:hAnsi="Times New Roman" w:hint="default"/>
              </w:rPr>
              <w:t>名</w:t>
            </w:r>
          </w:p>
        </w:tc>
        <w:tc>
          <w:tcPr>
            <w:tcW w:type="dxa" w:w="6714"/>
            <w:cnfStyle w:val="100010000100" w:firstRow="1" w:lastRow="0" w:firstColumn="0" w:lastColumn="0" w:oddVBand="1" w:evenVBand="0" w:oddHBand="0" w:evenHBand="0" w:firstRowFirstColumn="0" w:firstRowLastColumn="1" w:lastRowFirstColumn="0" w:lastRowLastColumn="0"/>
            <w:vAlign w:val="top"/>
          </w:tcPr>
          <w:p>
            <w:pPr>
              <w:pStyle w:val="PO161"/>
              <w:numPr>
                <w:ilvl w:val="0"/>
                <w:numId w:val="0"/>
              </w:numPr>
              <w:jc w:val="both"/>
              <w:spacing w:lineRule="auto" w:line="240" w:before="0" w:after="0"/>
              <w:ind w:righ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宋体" w:hAnsi="宋体" w:hint="default"/>
              </w:rPr>
              <w:t>山东省社会创新发展与研究中心</w:t>
            </w:r>
          </w:p>
        </w:tc>
      </w:tr>
      <w:tr>
        <w:trPr>
          <w:cnfStyle w:val="000000100000" w:firstRow="0" w:lastRow="0" w:firstColumn="0" w:lastColumn="0" w:oddVBand="0" w:evenVBand="0" w:oddHBand="1" w:evenHBand="0" w:firstRowFirstColumn="0" w:firstRowLastColumn="0" w:lastRowFirstColumn="0" w:lastRowLastColumn="0"/>
          <w:trHeight w:hRule="atleast" w:val="648"/>
          <w:hidden w:val="0"/>
        </w:trPr>
        <w:tc>
          <w:tcPr>
            <w:tcW w:type="dxa" w:w="1401"/>
            <w:cnfStyle w:val="001000100000" w:firstRow="0" w:lastRow="0" w:firstColumn="1" w:lastColumn="0" w:oddVBand="0" w:evenVBand="0" w:oddHBand="1" w:evenHBand="0" w:firstRowFirstColumn="0" w:firstRowLastColumn="0" w:lastRowFirstColumn="0" w:lastRowLastColumn="0"/>
            <w:vAlign w:val="top"/>
          </w:tcPr>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账号</w:t>
            </w:r>
          </w:p>
        </w:tc>
        <w:tc>
          <w:tcPr>
            <w:tcW w:type="dxa" w:w="6714"/>
            <w:cnfStyle w:val="000010100000" w:firstRow="0" w:lastRow="0" w:firstColumn="0" w:lastColumn="0" w:oddVBand="1" w:evenVBand="0" w:oddHBand="1" w:evenHBand="0" w:firstRowFirstColumn="0" w:firstRowLastColumn="0" w:lastRowFirstColumn="0" w:lastRowLastColumn="0"/>
            <w:vAlign w:val="top"/>
          </w:tcPr>
          <w:p>
            <w:pPr>
              <w:pStyle w:val="PO161"/>
              <w:numPr>
                <w:ilvl w:val="0"/>
                <w:numId w:val="0"/>
              </w:numPr>
              <w:jc w:val="both"/>
              <w:spacing w:lineRule="auto" w:line="24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宋体" w:hAnsi="宋体" w:hint="default"/>
              </w:rPr>
              <w:t xml:space="preserve">6993 27660</w:t>
            </w:r>
          </w:p>
        </w:tc>
      </w:tr>
      <w:tr>
        <w:trPr>
          <w:cnfStyle w:val="000000010000" w:firstRow="0" w:lastRow="0" w:firstColumn="0" w:lastColumn="0" w:oddVBand="0" w:evenVBand="0" w:oddHBand="0" w:evenHBand="1" w:firstRowFirstColumn="0" w:firstRowLastColumn="0" w:lastRowFirstColumn="0" w:lastRowLastColumn="0"/>
          <w:trHeight w:hRule="atleast" w:val="648"/>
          <w:hidden w:val="0"/>
        </w:trPr>
        <w:tc>
          <w:tcPr>
            <w:tcW w:type="dxa" w:w="1401"/>
            <w:cnfStyle w:val="001000010000" w:firstRow="0" w:lastRow="0" w:firstColumn="1" w:lastColumn="0" w:oddVBand="0" w:evenVBand="0" w:oddHBand="0" w:evenHBand="1" w:firstRowFirstColumn="0" w:firstRowLastColumn="0" w:lastRowFirstColumn="0" w:lastRowLastColumn="0"/>
            <w:vAlign w:val="top"/>
          </w:tcPr>
          <w:p>
            <w:pPr>
              <w:numPr>
                <w:ilvl w:val="0"/>
                <w:numId w:val="0"/>
              </w:numPr>
              <w:jc w:val="left"/>
              <w:spacing w:lineRule="auto" w:line="360" w:before="0" w:after="120"/>
              <w:ind w:right="0" w:firstLine="36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开户行</w:t>
            </w:r>
          </w:p>
        </w:tc>
        <w:tc>
          <w:tcPr>
            <w:tcW w:type="dxa" w:w="6714"/>
            <w:cnfStyle w:val="000010010000" w:firstRow="0" w:lastRow="0" w:firstColumn="0" w:lastColumn="0" w:oddVBand="1" w:evenVBand="0" w:oddHBand="0" w:evenHBand="1" w:firstRowFirstColumn="0" w:firstRowLastColumn="0" w:lastRowFirstColumn="0" w:lastRowLastColumn="0"/>
            <w:vAlign w:val="top"/>
          </w:tcPr>
          <w:p>
            <w:pPr>
              <w:pStyle w:val="PO161"/>
              <w:numPr>
                <w:ilvl w:val="0"/>
                <w:numId w:val="0"/>
              </w:numPr>
              <w:jc w:val="both"/>
              <w:spacing w:lineRule="auto" w:line="24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宋体" w:hAnsi="宋体" w:hint="default"/>
              </w:rPr>
              <w:t>中国民生银行股份有限公司济南市中支行</w:t>
            </w:r>
          </w:p>
        </w:tc>
      </w:tr>
    </w:tbl>
    <w:p>
      <w:pPr>
        <w:numPr>
          <w:ilvl w:val="0"/>
          <w:numId w:val="0"/>
        </w:numPr>
        <w:jc w:val="left"/>
        <w:spacing w:lineRule="auto" w:line="360" w:before="0" w:after="12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 xml:space="preserve">    </w:t>
      </w:r>
      <w:r>
        <w:rPr>
          <w:color w:val="auto"/>
          <w:position w:val="0"/>
          <w:sz w:val="24"/>
          <w:szCs w:val="24"/>
          <w:rFonts w:ascii="宋体" w:eastAsia="Times New Roman" w:hAnsi="Times New Roman" w:hint="default"/>
        </w:rPr>
        <w:t>四、在项目开始前，乙方须向甲方提供完整且思路清晰的项目实施方案（详</w:t>
      </w:r>
      <w:r>
        <w:rPr>
          <w:color w:val="auto"/>
          <w:position w:val="0"/>
          <w:sz w:val="24"/>
          <w:szCs w:val="24"/>
          <w:rFonts w:ascii="宋体" w:eastAsia="Times New Roman" w:hAnsi="Times New Roman" w:hint="default"/>
        </w:rPr>
        <w:t>见附件三：项目计划书）；项目进行的过程中，乙方须按照既定项目计划和预</w:t>
      </w:r>
      <w:r>
        <w:rPr>
          <w:color w:val="auto"/>
          <w:position w:val="0"/>
          <w:sz w:val="24"/>
          <w:szCs w:val="24"/>
          <w:rFonts w:ascii="宋体" w:eastAsia="Times New Roman" w:hAnsi="Times New Roman" w:hint="default"/>
        </w:rPr>
        <w:t>算组织项目实施；项目结束后</w:t>
      </w:r>
      <w:r>
        <w:rPr>
          <w:color w:val="auto"/>
          <w:position w:val="0"/>
          <w:sz w:val="24"/>
          <w:szCs w:val="24"/>
          <w:rFonts w:ascii="宋体" w:eastAsia="宋体" w:hAnsi="宋体" w:hint="default"/>
        </w:rPr>
        <w:t>7</w:t>
      </w:r>
      <w:r>
        <w:rPr>
          <w:color w:val="auto"/>
          <w:position w:val="0"/>
          <w:sz w:val="24"/>
          <w:szCs w:val="24"/>
          <w:rFonts w:ascii="宋体" w:eastAsia="Times New Roman" w:hAnsi="Times New Roman" w:hint="default"/>
        </w:rPr>
        <w:t>个工作日内，乙方应向甲方提供项目总结报告</w:t>
      </w:r>
      <w:r>
        <w:rPr>
          <w:color w:val="auto"/>
          <w:position w:val="0"/>
          <w:sz w:val="24"/>
          <w:szCs w:val="24"/>
          <w:rFonts w:ascii="宋体" w:eastAsia="Times New Roman" w:hAnsi="Times New Roman" w:hint="default"/>
        </w:rPr>
        <w:t>和项目财务报告。在项目结束后，甲方有权对项目执行情况进行评估，评估时间</w:t>
      </w:r>
      <w:r>
        <w:rPr>
          <w:color w:val="auto"/>
          <w:position w:val="0"/>
          <w:sz w:val="24"/>
          <w:szCs w:val="24"/>
          <w:rFonts w:ascii="宋体" w:eastAsia="Times New Roman" w:hAnsi="Times New Roman" w:hint="default"/>
        </w:rPr>
        <w:t>为</w:t>
      </w:r>
      <w:r>
        <w:rPr>
          <w:color w:val="auto"/>
          <w:position w:val="0"/>
          <w:sz w:val="24"/>
          <w:szCs w:val="24"/>
          <w:u w:val="single"/>
          <w:rFonts w:ascii="宋体" w:eastAsia="宋体" w:hAnsi="宋体" w:hint="default"/>
        </w:rPr>
        <w:t>201</w:t>
      </w:r>
      <w:r>
        <w:rPr>
          <w:color w:val="auto"/>
          <w:position w:val="0"/>
          <w:sz w:val="24"/>
          <w:szCs w:val="24"/>
          <w:u w:val="single"/>
          <w:rFonts w:ascii="宋体" w:eastAsia="Times New Roman" w:hAnsi="Times New Roman" w:hint="default"/>
        </w:rPr>
        <w:t>7</w:t>
      </w:r>
      <w:r>
        <w:rPr>
          <w:color w:val="auto"/>
          <w:position w:val="0"/>
          <w:sz w:val="24"/>
          <w:szCs w:val="24"/>
          <w:rFonts w:ascii="宋体" w:eastAsia="Times New Roman" w:hAnsi="Times New Roman" w:hint="default"/>
        </w:rPr>
        <w:t>年</w:t>
      </w:r>
      <w:r>
        <w:rPr>
          <w:color w:val="auto"/>
          <w:position w:val="0"/>
          <w:sz w:val="24"/>
          <w:szCs w:val="24"/>
          <w:u w:val="single"/>
          <w:rFonts w:ascii="宋体" w:eastAsia="宋体" w:hAnsi="宋体" w:hint="default"/>
        </w:rPr>
        <w:t>9</w:t>
      </w:r>
      <w:r>
        <w:rPr>
          <w:color w:val="auto"/>
          <w:position w:val="0"/>
          <w:sz w:val="24"/>
          <w:szCs w:val="24"/>
          <w:rFonts w:ascii="宋体" w:eastAsia="Times New Roman" w:hAnsi="Times New Roman" w:hint="default"/>
        </w:rPr>
        <w:t>月上旬，并将评估结果与乙方共享；</w:t>
      </w:r>
      <w:r>
        <w:rPr>
          <w:color w:val="auto"/>
          <w:position w:val="0"/>
          <w:sz w:val="24"/>
          <w:szCs w:val="24"/>
          <w:rFonts w:ascii="宋体" w:eastAsia="宋体" w:hAnsi="宋体" w:hint="default"/>
        </w:rPr>
        <w:t xml:space="preserve"> </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五、甲方为乙方执行“</w:t>
      </w:r>
      <w:r>
        <w:rPr>
          <w:spacing w:val="0"/>
          <w:b w:val="0"/>
          <w:color w:val="auto"/>
          <w:position w:val="0"/>
          <w:sz w:val="24"/>
          <w:szCs w:val="24"/>
          <w:u w:val="single"/>
          <w:smallCaps w:val="0"/>
          <w:rFonts w:ascii="宋体" w:eastAsia="Times New Roman" w:hAnsi="Times New Roman" w:hint="default"/>
        </w:rPr>
        <w:t>社会力量参与潍坊抗灾减灾协作平台</w:t>
      </w:r>
      <w:r>
        <w:rPr>
          <w:color w:val="auto"/>
          <w:position w:val="0"/>
          <w:sz w:val="24"/>
          <w:szCs w:val="24"/>
          <w:rFonts w:ascii="宋体" w:eastAsia="Times New Roman" w:hAnsi="Times New Roman" w:hint="default"/>
        </w:rPr>
        <w:t>”提供资金支持，</w:t>
      </w:r>
      <w:r>
        <w:rPr>
          <w:color w:val="auto"/>
          <w:position w:val="0"/>
          <w:sz w:val="24"/>
          <w:szCs w:val="24"/>
          <w:rFonts w:ascii="宋体" w:eastAsia="Times New Roman" w:hAnsi="Times New Roman" w:hint="default"/>
        </w:rPr>
        <w:t>乙方负责相关项目运营工作，项目过程中产生的损失和责任与甲方无关；甲方</w:t>
      </w:r>
      <w:r>
        <w:rPr>
          <w:color w:val="auto"/>
          <w:position w:val="0"/>
          <w:sz w:val="24"/>
          <w:szCs w:val="24"/>
          <w:rFonts w:ascii="宋体" w:eastAsia="Times New Roman" w:hAnsi="Times New Roman" w:hint="default"/>
        </w:rPr>
        <w:t>可以对项目执行提出意见和建议，乙方应充分重视甲方提出的意见和建议。</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六、甲方对项目的开展过程以及资金的使用情况有监督、监察的权利；甲方</w:t>
      </w:r>
      <w:r>
        <w:rPr>
          <w:color w:val="auto"/>
          <w:position w:val="0"/>
          <w:sz w:val="24"/>
          <w:szCs w:val="24"/>
          <w:rFonts w:ascii="宋体" w:eastAsia="Times New Roman" w:hAnsi="Times New Roman" w:hint="default"/>
        </w:rPr>
        <w:t>有权利向乙方了解项目进展、资金使用等情况，乙方有义务配合。在这个过程中，</w:t>
      </w:r>
      <w:r>
        <w:rPr>
          <w:color w:val="auto"/>
          <w:position w:val="0"/>
          <w:sz w:val="24"/>
          <w:szCs w:val="24"/>
          <w:rFonts w:ascii="宋体" w:eastAsia="Times New Roman" w:hAnsi="Times New Roman" w:hint="default"/>
        </w:rPr>
        <w:t>如发现影响项目效果实现的情形，甲方有权要求乙方作出调整，乙方有义务按</w:t>
      </w:r>
      <w:r>
        <w:rPr>
          <w:color w:val="auto"/>
          <w:position w:val="0"/>
          <w:sz w:val="24"/>
          <w:szCs w:val="24"/>
          <w:rFonts w:ascii="宋体" w:eastAsia="Times New Roman" w:hAnsi="Times New Roman" w:hint="default"/>
        </w:rPr>
        <w:t>照双方协定的方案进行调整。</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七、乙方须在项目执行过程中以及项目结束后因项目产出的横幅、折页、书</w:t>
      </w:r>
      <w:r>
        <w:rPr>
          <w:color w:val="auto"/>
          <w:position w:val="0"/>
          <w:sz w:val="24"/>
          <w:szCs w:val="24"/>
          <w:rFonts w:ascii="宋体" w:eastAsia="Times New Roman" w:hAnsi="Times New Roman" w:hint="default"/>
        </w:rPr>
        <w:t>籍、视频、光盘等宣传物料上标注“正荣公益基金会支持”的字样（在相关材料</w:t>
      </w:r>
      <w:r>
        <w:rPr>
          <w:color w:val="auto"/>
          <w:position w:val="0"/>
          <w:sz w:val="24"/>
          <w:szCs w:val="24"/>
          <w:rFonts w:ascii="宋体" w:eastAsia="Times New Roman" w:hAnsi="Times New Roman" w:hint="default"/>
        </w:rPr>
        <w:t>的首页底部注明“本次活动</w:t>
      </w:r>
      <w:r>
        <w:rPr>
          <w:color w:val="auto"/>
          <w:position w:val="0"/>
          <w:sz w:val="24"/>
          <w:szCs w:val="24"/>
          <w:rFonts w:ascii="宋体" w:eastAsia="宋体" w:hAnsi="宋体" w:hint="default"/>
        </w:rPr>
        <w:t>/</w:t>
      </w:r>
      <w:r>
        <w:rPr>
          <w:color w:val="auto"/>
          <w:position w:val="0"/>
          <w:sz w:val="24"/>
          <w:szCs w:val="24"/>
          <w:rFonts w:ascii="宋体" w:eastAsia="Times New Roman" w:hAnsi="Times New Roman" w:hint="default"/>
        </w:rPr>
        <w:t>项目由正荣公益基金会（用</w:t>
      </w:r>
      <w:r>
        <w:rPr>
          <w:color w:val="auto"/>
          <w:position w:val="0"/>
          <w:sz w:val="24"/>
          <w:szCs w:val="24"/>
          <w:rFonts w:ascii="宋体" w:eastAsia="宋体" w:hAnsi="宋体" w:hint="default"/>
        </w:rPr>
        <w:t>logo</w:t>
      </w:r>
      <w:r>
        <w:rPr>
          <w:color w:val="auto"/>
          <w:position w:val="0"/>
          <w:sz w:val="24"/>
          <w:szCs w:val="24"/>
          <w:rFonts w:ascii="宋体" w:eastAsia="Times New Roman" w:hAnsi="Times New Roman" w:hint="default"/>
        </w:rPr>
        <w:t>）提供行政资</w:t>
      </w:r>
      <w:r>
        <w:rPr>
          <w:color w:val="auto"/>
          <w:position w:val="0"/>
          <w:sz w:val="24"/>
          <w:szCs w:val="24"/>
          <w:rFonts w:ascii="宋体" w:eastAsia="Times New Roman" w:hAnsi="Times New Roman" w:hint="default"/>
        </w:rPr>
        <w:t>助”。）（详见附件</w:t>
      </w:r>
      <w:r>
        <w:rPr>
          <w:color w:val="auto"/>
          <w:position w:val="0"/>
          <w:sz w:val="24"/>
          <w:szCs w:val="24"/>
          <w:rFonts w:ascii="宋体" w:eastAsia="宋体" w:hAnsi="宋体" w:hint="default"/>
        </w:rPr>
        <w:t>4</w:t>
      </w:r>
      <w:r>
        <w:rPr>
          <w:color w:val="auto"/>
          <w:position w:val="0"/>
          <w:sz w:val="24"/>
          <w:szCs w:val="24"/>
          <w:rFonts w:ascii="宋体" w:eastAsia="Times New Roman" w:hAnsi="Times New Roman" w:hint="default"/>
        </w:rPr>
        <w:t>：正荣公益基金会品牌管理规范）</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八、财务管理原则：</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1</w:t>
      </w:r>
      <w:r>
        <w:rPr>
          <w:color w:val="auto"/>
          <w:position w:val="0"/>
          <w:sz w:val="24"/>
          <w:szCs w:val="24"/>
          <w:rFonts w:ascii="宋体" w:eastAsia="Times New Roman" w:hAnsi="Times New Roman" w:hint="default"/>
        </w:rPr>
        <w:t>）在项目执行过程中，乙方应按照实事求是的原则进行财务管理，在做项</w:t>
      </w:r>
      <w:r>
        <w:rPr>
          <w:color w:val="auto"/>
          <w:position w:val="0"/>
          <w:sz w:val="24"/>
          <w:szCs w:val="24"/>
          <w:rFonts w:ascii="宋体" w:eastAsia="Times New Roman" w:hAnsi="Times New Roman" w:hint="default"/>
        </w:rPr>
        <w:t>目支出入账和财务结算时必须按照实报实销的原则进行。</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2</w:t>
      </w:r>
      <w:r>
        <w:rPr>
          <w:color w:val="auto"/>
          <w:position w:val="0"/>
          <w:sz w:val="24"/>
          <w:szCs w:val="24"/>
          <w:rFonts w:ascii="宋体" w:eastAsia="Times New Roman" w:hAnsi="Times New Roman" w:hint="default"/>
        </w:rPr>
        <w:t>）为了保证项目目标的实现，项目的各项支出可适当根据实际执行情况做</w:t>
      </w:r>
      <w:r>
        <w:rPr>
          <w:color w:val="auto"/>
          <w:position w:val="0"/>
          <w:sz w:val="24"/>
          <w:szCs w:val="24"/>
          <w:rFonts w:ascii="宋体" w:eastAsia="Times New Roman" w:hAnsi="Times New Roman" w:hint="default"/>
        </w:rPr>
        <w:t>相应的调整，但必须在告知甲方并在取得甲方的同意后即可进行调整。</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3</w:t>
      </w:r>
      <w:r>
        <w:rPr>
          <w:color w:val="auto"/>
          <w:position w:val="0"/>
          <w:sz w:val="24"/>
          <w:szCs w:val="24"/>
          <w:rFonts w:ascii="宋体" w:eastAsia="Times New Roman" w:hAnsi="Times New Roman" w:hint="default"/>
        </w:rPr>
        <w:t>、项目的资金不得挪做它用。项目如有余款，则由双方协商确定解决方案；</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4</w:t>
      </w:r>
      <w:r>
        <w:rPr>
          <w:color w:val="auto"/>
          <w:position w:val="0"/>
          <w:sz w:val="24"/>
          <w:szCs w:val="24"/>
          <w:rFonts w:ascii="宋体" w:eastAsia="Times New Roman" w:hAnsi="Times New Roman" w:hint="default"/>
        </w:rPr>
        <w:t>、乙方应完整保存全部原始凭证以随时备查，</w:t>
      </w:r>
      <w:r>
        <w:rPr>
          <w:color w:val="auto"/>
          <w:position w:val="0"/>
          <w:sz w:val="24"/>
          <w:szCs w:val="24"/>
          <w:rFonts w:ascii="宋体" w:eastAsia="宋体" w:hAnsi="宋体" w:hint="default"/>
        </w:rPr>
        <w:t xml:space="preserve"> </w:t>
      </w:r>
      <w:r>
        <w:rPr>
          <w:color w:val="auto"/>
          <w:position w:val="0"/>
          <w:sz w:val="24"/>
          <w:szCs w:val="24"/>
          <w:rFonts w:ascii="宋体" w:eastAsia="Times New Roman" w:hAnsi="Times New Roman" w:hint="default"/>
        </w:rPr>
        <w:t>甲方有权查看乙方保存的以下（包括但不限于）信息，但应提至少前两周通知</w:t>
      </w:r>
      <w:r>
        <w:rPr>
          <w:color w:val="auto"/>
          <w:position w:val="0"/>
          <w:sz w:val="24"/>
          <w:szCs w:val="24"/>
          <w:rFonts w:ascii="宋体" w:eastAsia="Times New Roman" w:hAnsi="Times New Roman" w:hint="default"/>
        </w:rPr>
        <w:t>乙方（具体内容见附件</w:t>
      </w:r>
      <w:r>
        <w:rPr>
          <w:color w:val="auto"/>
          <w:position w:val="0"/>
          <w:sz w:val="24"/>
          <w:szCs w:val="24"/>
          <w:rFonts w:ascii="宋体" w:eastAsia="宋体" w:hAnsi="宋体" w:hint="default"/>
        </w:rPr>
        <w:t>5</w:t>
      </w:r>
      <w:r>
        <w:rPr>
          <w:color w:val="auto"/>
          <w:position w:val="0"/>
          <w:sz w:val="24"/>
          <w:szCs w:val="24"/>
          <w:rFonts w:ascii="宋体" w:eastAsia="Times New Roman" w:hAnsi="Times New Roman" w:hint="default"/>
        </w:rPr>
        <w:t>：正荣公益基金会财务管理规范）。</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w:t>
      </w:r>
      <w:r>
        <w:rPr>
          <w:color w:val="auto"/>
          <w:position w:val="0"/>
          <w:sz w:val="24"/>
          <w:szCs w:val="24"/>
          <w:rFonts w:ascii="宋体" w:eastAsia="宋体" w:hAnsi="宋体" w:hint="default"/>
        </w:rPr>
        <w:t>1</w:t>
      </w:r>
      <w:r>
        <w:rPr>
          <w:color w:val="auto"/>
          <w:position w:val="0"/>
          <w:sz w:val="24"/>
          <w:szCs w:val="24"/>
          <w:rFonts w:ascii="宋体" w:eastAsia="Times New Roman" w:hAnsi="Times New Roman" w:hint="default"/>
        </w:rPr>
        <w:t>）项目开支情况报告表</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w:t>
      </w:r>
      <w:r>
        <w:rPr>
          <w:color w:val="auto"/>
          <w:position w:val="0"/>
          <w:sz w:val="24"/>
          <w:szCs w:val="24"/>
          <w:rFonts w:ascii="宋体" w:eastAsia="宋体" w:hAnsi="宋体" w:hint="default"/>
        </w:rPr>
        <w:t>2</w:t>
      </w:r>
      <w:r>
        <w:rPr>
          <w:color w:val="auto"/>
          <w:position w:val="0"/>
          <w:sz w:val="24"/>
          <w:szCs w:val="24"/>
          <w:rFonts w:ascii="宋体" w:eastAsia="Times New Roman" w:hAnsi="Times New Roman" w:hint="default"/>
        </w:rPr>
        <w:t>）财务原始凭证。</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九、如因一方违约造成项目无法继续开展或继续开展不能达到项目目的的，</w:t>
      </w:r>
      <w:r>
        <w:rPr>
          <w:color w:val="auto"/>
          <w:position w:val="0"/>
          <w:sz w:val="24"/>
          <w:szCs w:val="24"/>
          <w:rFonts w:ascii="宋体" w:eastAsia="Times New Roman" w:hAnsi="Times New Roman" w:hint="default"/>
        </w:rPr>
        <w:t>另一方可以单方面终止协议，并且须在</w:t>
      </w:r>
      <w:r>
        <w:rPr>
          <w:color w:val="auto"/>
          <w:position w:val="0"/>
          <w:sz w:val="24"/>
          <w:szCs w:val="24"/>
          <w:rFonts w:ascii="宋体" w:eastAsia="宋体" w:hAnsi="宋体" w:hint="default"/>
        </w:rPr>
        <w:t>5</w:t>
      </w:r>
      <w:r>
        <w:rPr>
          <w:color w:val="auto"/>
          <w:position w:val="0"/>
          <w:sz w:val="24"/>
          <w:szCs w:val="24"/>
          <w:rFonts w:ascii="宋体" w:eastAsia="Times New Roman" w:hAnsi="Times New Roman" w:hint="default"/>
        </w:rPr>
        <w:t>日前，书面形式通知对方；</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十、本协议未规定的事项由双方协商补充，补充合同作为本合同的附件，与</w:t>
      </w:r>
      <w:r>
        <w:rPr>
          <w:color w:val="auto"/>
          <w:position w:val="0"/>
          <w:sz w:val="24"/>
          <w:szCs w:val="24"/>
          <w:rFonts w:ascii="宋体" w:eastAsia="Times New Roman" w:hAnsi="Times New Roman" w:hint="default"/>
        </w:rPr>
        <w:t>本合同有同等法律效力。</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十一、甲乙双方在合作中发生的争议由双方协商解决，协商无效，任何一方</w:t>
      </w:r>
      <w:r>
        <w:rPr>
          <w:color w:val="auto"/>
          <w:position w:val="0"/>
          <w:sz w:val="24"/>
          <w:szCs w:val="24"/>
          <w:rFonts w:ascii="宋体" w:eastAsia="Times New Roman" w:hAnsi="Times New Roman" w:hint="default"/>
        </w:rPr>
        <w:t>可向人民法院提起诉讼。</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十二、本协议自双方签字、盖章后生效。</w:t>
      </w:r>
    </w:p>
    <w:p>
      <w:pPr>
        <w:numPr>
          <w:ilvl w:val="0"/>
          <w:numId w:val="0"/>
        </w:numPr>
        <w:jc w:val="left"/>
        <w:spacing w:lineRule="auto" w:line="360" w:before="0" w:after="120"/>
        <w:ind w:right="0" w:firstLine="480"/>
        <w:rPr>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120"/>
        <w:ind w:right="0" w:firstLine="0"/>
        <w:rPr>
          <w:color w:val="auto"/>
          <w:position w:val="0"/>
          <w:sz w:val="24"/>
          <w:szCs w:val="24"/>
          <w:rFonts w:ascii="宋体" w:eastAsia="Arial" w:hAnsi="Arial" w:hint="default"/>
        </w:rPr>
        <w:autoSpaceDE w:val="1"/>
        <w:autoSpaceDN w:val="1"/>
      </w:pPr>
      <w:r>
        <w:rPr>
          <w:color w:val="auto"/>
          <w:position w:val="0"/>
          <w:sz w:val="24"/>
          <w:szCs w:val="24"/>
          <w:rFonts w:ascii="宋体" w:eastAsia="Times New Roman" w:hAnsi="Times New Roman" w:hint="default"/>
        </w:rPr>
        <w:t>甲方：福建省正荣公益基金会</w:t>
      </w:r>
      <w:r>
        <w:rPr>
          <w:color w:val="auto"/>
          <w:position w:val="0"/>
          <w:sz w:val="24"/>
          <w:szCs w:val="24"/>
          <w:rFonts w:ascii="宋体" w:eastAsia="宋体" w:hAnsi="宋体" w:hint="default"/>
        </w:rPr>
        <w:t xml:space="preserve">           </w:t>
      </w:r>
      <w:r>
        <w:rPr>
          <w:color w:val="auto"/>
          <w:position w:val="0"/>
          <w:sz w:val="24"/>
          <w:szCs w:val="24"/>
          <w:rFonts w:ascii="宋体" w:eastAsia="Times New Roman" w:hAnsi="Times New Roman" w:hint="default"/>
        </w:rPr>
        <w:t>乙方：</w:t>
      </w:r>
    </w:p>
    <w:p>
      <w:pPr>
        <w:numPr>
          <w:ilvl w:val="0"/>
          <w:numId w:val="0"/>
        </w:numPr>
        <w:jc w:val="both"/>
        <w:spacing w:lineRule="auto" w:line="360" w:before="0" w:after="12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签字（盖章）</w:t>
      </w:r>
      <w:r>
        <w:rPr>
          <w:color w:val="auto"/>
          <w:position w:val="0"/>
          <w:sz w:val="24"/>
          <w:szCs w:val="24"/>
          <w:rFonts w:ascii="宋体" w:eastAsia="宋体" w:hAnsi="宋体" w:hint="default"/>
        </w:rPr>
        <w:t xml:space="preserve">                                </w:t>
      </w:r>
      <w:r>
        <w:rPr>
          <w:color w:val="auto"/>
          <w:position w:val="0"/>
          <w:sz w:val="24"/>
          <w:szCs w:val="24"/>
          <w:rFonts w:ascii="宋体" w:eastAsia="Times New Roman" w:hAnsi="Times New Roman" w:hint="default"/>
        </w:rPr>
        <w:t>签字（盖章）</w:t>
      </w:r>
    </w:p>
    <w:p>
      <w:pPr>
        <w:numPr>
          <w:ilvl w:val="0"/>
          <w:numId w:val="0"/>
        </w:numPr>
        <w:jc w:val="both"/>
        <w:spacing w:lineRule="auto" w:line="24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日期：</w:t>
      </w:r>
      <w:r>
        <w:rPr>
          <w:color w:val="auto"/>
          <w:position w:val="0"/>
          <w:sz w:val="24"/>
          <w:szCs w:val="24"/>
          <w:rFonts w:ascii="宋体" w:eastAsia="宋体" w:hAnsi="宋体" w:hint="default"/>
        </w:rPr>
        <w:t xml:space="preserve">                                      </w:t>
      </w:r>
      <w:r>
        <w:rPr>
          <w:color w:val="auto"/>
          <w:position w:val="0"/>
          <w:sz w:val="24"/>
          <w:szCs w:val="24"/>
          <w:rFonts w:ascii="宋体" w:eastAsia="Times New Roman" w:hAnsi="Times New Roman" w:hint="default"/>
        </w:rPr>
        <w:t>日期：</w:t>
      </w: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r>
        <w:br w:type="page"/>
      </w:r>
    </w:p>
    <w:p>
      <w:pPr>
        <w:numPr>
          <w:ilvl w:val="0"/>
          <w:numId w:val="0"/>
        </w:numPr>
        <w:jc w:val="both"/>
        <w:spacing w:lineRule="auto" w:line="240" w:before="0" w:after="0"/>
        <w:ind w:right="0" w:firstLine="0"/>
        <w:rPr>
          <w:color w:val="auto"/>
          <w:position w:val="0"/>
          <w:sz w:val="24"/>
          <w:szCs w:val="24"/>
          <w:rFonts w:ascii="Times New Roman"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附件一：</w:t>
      </w:r>
    </w:p>
    <w:p>
      <w:pPr>
        <w:numPr>
          <w:ilvl w:val="0"/>
          <w:numId w:val="0"/>
        </w:numPr>
        <w:jc w:val="center"/>
        <w:spacing w:lineRule="auto" w:line="360" w:before="0" w:after="0"/>
        <w:ind w:right="0" w:firstLine="0"/>
        <w:rPr>
          <w:b w:val="1"/>
          <w:color w:val="auto"/>
          <w:position w:val="0"/>
          <w:sz w:val="30"/>
          <w:szCs w:val="30"/>
          <w:rFonts w:ascii="宋体" w:eastAsia="Times New Roman" w:hAnsi="Times New Roman" w:hint="default"/>
        </w:rPr>
        <w:autoSpaceDE w:val="1"/>
        <w:autoSpaceDN w:val="1"/>
      </w:pPr>
      <w:r>
        <w:rPr>
          <w:b w:val="1"/>
          <w:color w:val="auto"/>
          <w:position w:val="0"/>
          <w:sz w:val="30"/>
          <w:szCs w:val="30"/>
          <w:rFonts w:ascii="宋体" w:eastAsia="Times New Roman" w:hAnsi="Times New Roman" w:hint="default"/>
        </w:rPr>
        <w:t>福建省正荣公益基金会资助项目品牌管理办法</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48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为规范和推动正荣公益基金会资助项目的传播推广，保障项目合作各方的品</w:t>
      </w:r>
      <w:r>
        <w:rPr>
          <w:color w:val="auto"/>
          <w:position w:val="0"/>
          <w:sz w:val="24"/>
          <w:szCs w:val="24"/>
          <w:rFonts w:ascii="宋体" w:eastAsia="Times New Roman" w:hAnsi="Times New Roman" w:hint="default"/>
        </w:rPr>
        <w:t>牌权益，特制定此办法，项目合作伙伴请遵循本管理办法的规定。</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一、品牌管理要求</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1</w:t>
      </w:r>
      <w:r>
        <w:rPr>
          <w:color w:val="auto"/>
          <w:position w:val="0"/>
          <w:sz w:val="24"/>
          <w:szCs w:val="24"/>
          <w:rFonts w:ascii="宋体" w:eastAsia="Times New Roman" w:hAnsi="Times New Roman" w:hint="default"/>
        </w:rPr>
        <w:t>．本项目的名称、标识、介绍等核心品牌内容应由合作相关方共同商定，对外传</w:t>
      </w:r>
      <w:r>
        <w:rPr>
          <w:color w:val="auto"/>
          <w:position w:val="0"/>
          <w:sz w:val="24"/>
          <w:szCs w:val="24"/>
          <w:rFonts w:ascii="宋体" w:eastAsia="Times New Roman" w:hAnsi="Times New Roman" w:hint="default"/>
        </w:rPr>
        <w:t>播推广时统一规范使用。</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2</w:t>
      </w:r>
      <w:r>
        <w:rPr>
          <w:color w:val="auto"/>
          <w:position w:val="0"/>
          <w:sz w:val="24"/>
          <w:szCs w:val="24"/>
          <w:rFonts w:ascii="宋体" w:eastAsia="Times New Roman" w:hAnsi="Times New Roman" w:hint="default"/>
        </w:rPr>
        <w:t>．甲方为本项目的资助方。在项目传播推广中，乙方应明确表明甲方作为项目资</w:t>
      </w:r>
      <w:r>
        <w:rPr>
          <w:color w:val="auto"/>
          <w:position w:val="0"/>
          <w:sz w:val="24"/>
          <w:szCs w:val="24"/>
          <w:rFonts w:ascii="宋体" w:eastAsia="Times New Roman" w:hAnsi="Times New Roman" w:hint="default"/>
        </w:rPr>
        <w:t>助方的地位；甲方在进行自身传播推广中，有权表明作为项目资助方的地位，并</w:t>
      </w:r>
      <w:r>
        <w:rPr>
          <w:color w:val="auto"/>
          <w:position w:val="0"/>
          <w:sz w:val="24"/>
          <w:szCs w:val="24"/>
          <w:rFonts w:ascii="宋体" w:eastAsia="Times New Roman" w:hAnsi="Times New Roman" w:hint="default"/>
        </w:rPr>
        <w:t>有权使用本项目的名称、标识、方案、形象、内容等与项目有关的信息。</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3</w:t>
      </w:r>
      <w:r>
        <w:rPr>
          <w:color w:val="auto"/>
          <w:position w:val="0"/>
          <w:sz w:val="24"/>
          <w:szCs w:val="24"/>
          <w:rFonts w:ascii="宋体" w:eastAsia="Times New Roman" w:hAnsi="Times New Roman" w:hint="default"/>
        </w:rPr>
        <w:t>．在乙方因本项目进行的重要宣传活动中，乙方应当提前知会甲方，活动相关材</w:t>
      </w:r>
      <w:r>
        <w:rPr>
          <w:color w:val="auto"/>
          <w:position w:val="0"/>
          <w:sz w:val="24"/>
          <w:szCs w:val="24"/>
          <w:rFonts w:ascii="宋体" w:eastAsia="Times New Roman" w:hAnsi="Times New Roman" w:hint="default"/>
        </w:rPr>
        <w:t>料中应标明甲方的资助方地位。</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二、品牌应用规范</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1.</w:t>
      </w:r>
      <w:r>
        <w:rPr>
          <w:color w:val="auto"/>
          <w:position w:val="0"/>
          <w:sz w:val="24"/>
          <w:szCs w:val="24"/>
          <w:rFonts w:ascii="宋体" w:eastAsia="Times New Roman" w:hAnsi="Times New Roman" w:hint="default"/>
        </w:rPr>
        <w:t>在本项目范围内，乙方通过网站、微博、微信等互联网渠道传播的，均应在内</w:t>
      </w:r>
      <w:r>
        <w:rPr>
          <w:color w:val="auto"/>
          <w:position w:val="0"/>
          <w:sz w:val="24"/>
          <w:szCs w:val="24"/>
          <w:rFonts w:ascii="宋体" w:eastAsia="Times New Roman" w:hAnsi="Times New Roman" w:hint="default"/>
        </w:rPr>
        <w:t>容显著位置注明甲方名称及其资助方地位，并附注以下信息：</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w:t>
      </w:r>
      <w:r>
        <w:rPr>
          <w:color w:val="auto"/>
          <w:position w:val="0"/>
          <w:sz w:val="24"/>
          <w:szCs w:val="24"/>
          <w:rFonts w:ascii="宋体" w:eastAsia="Times New Roman" w:hAnsi="Times New Roman" w:hint="default"/>
        </w:rPr>
        <w:t>关于正荣公益基金会</w:t>
      </w:r>
      <w:r>
        <w:rPr>
          <w:color w:val="auto"/>
          <w:position w:val="0"/>
          <w:sz w:val="24"/>
          <w:szCs w:val="24"/>
          <w:rFonts w:ascii="宋体" w:eastAsia="宋体" w:hAnsi="宋体" w:hint="default"/>
        </w:rPr>
        <w:t>#</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正荣公益基金会是一家资助型的基金会。基金会以“支持公益创新”为使命，通</w:t>
      </w:r>
      <w:r>
        <w:rPr>
          <w:color w:val="auto"/>
          <w:position w:val="0"/>
          <w:sz w:val="24"/>
          <w:szCs w:val="24"/>
          <w:rFonts w:ascii="宋体" w:eastAsia="Times New Roman" w:hAnsi="Times New Roman" w:hint="default"/>
        </w:rPr>
        <w:t>过“创新、灵活、有效”的资助模式，推动民间公益力量生长，促进公益生态可</w:t>
      </w:r>
      <w:r>
        <w:rPr>
          <w:color w:val="auto"/>
          <w:position w:val="0"/>
          <w:sz w:val="24"/>
          <w:szCs w:val="24"/>
          <w:rFonts w:ascii="宋体" w:eastAsia="Times New Roman" w:hAnsi="Times New Roman" w:hint="default"/>
        </w:rPr>
        <w:t>持续发展。目前，基金会运作的公益项目有：正荣微公益、正荣专项救灾基金、</w:t>
      </w:r>
      <w:r>
        <w:rPr>
          <w:color w:val="auto"/>
          <w:position w:val="0"/>
          <w:sz w:val="24"/>
          <w:szCs w:val="24"/>
          <w:rFonts w:ascii="宋体" w:eastAsia="宋体" w:hAnsi="宋体" w:hint="default"/>
        </w:rPr>
        <w:t>LIFE</w:t>
      </w:r>
      <w:r>
        <w:rPr>
          <w:color w:val="auto"/>
          <w:position w:val="0"/>
          <w:sz w:val="24"/>
          <w:szCs w:val="24"/>
          <w:rFonts w:ascii="宋体" w:eastAsia="Times New Roman" w:hAnsi="Times New Roman" w:hint="default"/>
        </w:rPr>
        <w:t>教育创新、有效资助之道、桥畔计划、爱故乡计划等。</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更多了解，请登陆网址：</w:t>
      </w:r>
      <w:hyperlink r:id="rId5">
        <w:r>
          <w:rPr>
            <w:rStyle w:val="PO159"/>
            <w:color w:val="0000FF"/>
            <w:position w:val="0"/>
            <w:sz w:val="24"/>
            <w:szCs w:val="24"/>
            <w:u w:val="single"/>
            <w:rFonts w:ascii="宋体" w:eastAsia="宋体" w:hAnsi="宋体" w:hint="default"/>
          </w:rPr>
          <w:t>www.zrgy.org</w:t>
        </w:r>
      </w:hyperlink>
      <w:r>
        <w:rPr>
          <w:color w:val="auto"/>
          <w:position w:val="0"/>
          <w:sz w:val="24"/>
          <w:szCs w:val="24"/>
          <w:rFonts w:ascii="宋体" w:eastAsia="Times New Roman" w:hAnsi="Times New Roman" w:hint="default"/>
        </w:rPr>
        <w:t>,或</w:t>
      </w:r>
      <w:r>
        <w:rPr>
          <w:color w:val="auto"/>
          <w:position w:val="0"/>
          <w:sz w:val="24"/>
          <w:szCs w:val="24"/>
          <w:rFonts w:ascii="宋体" w:eastAsia="宋体" w:hAnsi="宋体" w:hint="default"/>
        </w:rPr>
        <w:t>@</w:t>
      </w:r>
      <w:r>
        <w:rPr>
          <w:color w:val="auto"/>
          <w:position w:val="0"/>
          <w:sz w:val="24"/>
          <w:szCs w:val="24"/>
          <w:rFonts w:ascii="宋体" w:eastAsia="Times New Roman" w:hAnsi="Times New Roman" w:hint="default"/>
        </w:rPr>
        <w:t>正荣公益基金会（新浪微博）</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2.</w:t>
      </w:r>
      <w:r>
        <w:rPr>
          <w:color w:val="auto"/>
          <w:position w:val="0"/>
          <w:sz w:val="24"/>
          <w:szCs w:val="24"/>
          <w:rFonts w:ascii="宋体" w:eastAsia="Times New Roman" w:hAnsi="Times New Roman" w:hint="default"/>
        </w:rPr>
        <w:t>在本项目范围内的海报、折页、宣传板等宣传物料，及由本项目资助而产生的</w:t>
      </w:r>
      <w:r>
        <w:rPr>
          <w:color w:val="auto"/>
          <w:position w:val="0"/>
          <w:sz w:val="24"/>
          <w:szCs w:val="24"/>
          <w:rFonts w:ascii="宋体" w:eastAsia="Times New Roman" w:hAnsi="Times New Roman" w:hint="default"/>
        </w:rPr>
        <w:t>成果资料上，乙方均应在显著位置注明甲方名称及其资助方地位。</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3.</w:t>
      </w:r>
      <w:r>
        <w:rPr>
          <w:color w:val="auto"/>
          <w:position w:val="0"/>
          <w:sz w:val="24"/>
          <w:szCs w:val="24"/>
          <w:rFonts w:ascii="宋体" w:eastAsia="Times New Roman" w:hAnsi="Times New Roman" w:hint="default"/>
        </w:rPr>
        <w:t>在本项目范围内，乙方接受任何形式的媒体采访或向媒体提供与本项目相关的</w:t>
      </w:r>
      <w:r>
        <w:rPr>
          <w:color w:val="auto"/>
          <w:position w:val="0"/>
          <w:sz w:val="24"/>
          <w:szCs w:val="24"/>
          <w:rFonts w:ascii="宋体" w:eastAsia="Times New Roman" w:hAnsi="Times New Roman" w:hint="default"/>
        </w:rPr>
        <w:t>材料时，应当明确表述甲方的资助者地位，并善意维护甲方的名誉。</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4.</w:t>
      </w:r>
      <w:r>
        <w:rPr>
          <w:color w:val="auto"/>
          <w:position w:val="0"/>
          <w:sz w:val="24"/>
          <w:szCs w:val="24"/>
          <w:rFonts w:ascii="宋体" w:eastAsia="Times New Roman" w:hAnsi="Times New Roman" w:hint="default"/>
        </w:rPr>
        <w:t>乙方应按甲方的</w:t>
      </w:r>
      <w:r>
        <w:rPr>
          <w:color w:val="auto"/>
          <w:position w:val="0"/>
          <w:sz w:val="24"/>
          <w:szCs w:val="24"/>
          <w:rFonts w:ascii="宋体" w:eastAsia="宋体" w:hAnsi="宋体" w:hint="default"/>
        </w:rPr>
        <w:t>VI</w:t>
      </w:r>
      <w:r>
        <w:rPr>
          <w:color w:val="auto"/>
          <w:position w:val="0"/>
          <w:sz w:val="24"/>
          <w:szCs w:val="24"/>
          <w:rFonts w:ascii="宋体" w:eastAsia="Times New Roman" w:hAnsi="Times New Roman" w:hint="default"/>
        </w:rPr>
        <w:t>标准使用甲方名称及标识（详见附件）。</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三、品牌协调反馈</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1.</w:t>
      </w:r>
      <w:r>
        <w:rPr>
          <w:color w:val="auto"/>
          <w:position w:val="0"/>
          <w:sz w:val="24"/>
          <w:szCs w:val="24"/>
          <w:rFonts w:ascii="宋体" w:eastAsia="Times New Roman" w:hAnsi="Times New Roman" w:hint="default"/>
        </w:rPr>
        <w:t>在本项目的中期报告及结项报告中，乙方均应在其中反馈项目传播及品牌应用</w:t>
      </w:r>
      <w:r>
        <w:rPr>
          <w:color w:val="auto"/>
          <w:position w:val="0"/>
          <w:sz w:val="24"/>
          <w:szCs w:val="24"/>
          <w:rFonts w:ascii="宋体" w:eastAsia="Times New Roman" w:hAnsi="Times New Roman" w:hint="default"/>
        </w:rPr>
        <w:t>情况。</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2.</w:t>
      </w:r>
      <w:r>
        <w:rPr>
          <w:color w:val="auto"/>
          <w:position w:val="0"/>
          <w:sz w:val="24"/>
          <w:szCs w:val="24"/>
          <w:rFonts w:ascii="宋体" w:eastAsia="Times New Roman" w:hAnsi="Times New Roman" w:hint="default"/>
        </w:rPr>
        <w:t>由本项目资助产生的具有宣传或成果性质的物品或资料，乙方应及时备份抄</w:t>
      </w:r>
      <w:r>
        <w:rPr>
          <w:color w:val="auto"/>
          <w:position w:val="0"/>
          <w:sz w:val="24"/>
          <w:szCs w:val="24"/>
          <w:rFonts w:ascii="宋体" w:eastAsia="Times New Roman" w:hAnsi="Times New Roman" w:hint="default"/>
        </w:rPr>
        <w:t>（寄）送一份给甲方。</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3.</w:t>
      </w:r>
      <w:r>
        <w:rPr>
          <w:color w:val="auto"/>
          <w:position w:val="0"/>
          <w:sz w:val="24"/>
          <w:szCs w:val="24"/>
          <w:rFonts w:ascii="宋体" w:eastAsia="Times New Roman" w:hAnsi="Times New Roman" w:hint="default"/>
        </w:rPr>
        <w:t>本项目具体的传播推广由乙方执行，甲方可提供必要的建议和传播配合。</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四、其它事项</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1.</w:t>
      </w:r>
      <w:r>
        <w:rPr>
          <w:color w:val="auto"/>
          <w:position w:val="0"/>
          <w:sz w:val="24"/>
          <w:szCs w:val="24"/>
          <w:rFonts w:ascii="宋体" w:eastAsia="Times New Roman" w:hAnsi="Times New Roman" w:hint="default"/>
        </w:rPr>
        <w:t>乙方在项目品牌传播上出现以下失误：未规范使用原定的项目品牌，或未注明</w:t>
      </w:r>
      <w:r>
        <w:rPr>
          <w:color w:val="auto"/>
          <w:position w:val="0"/>
          <w:sz w:val="24"/>
          <w:szCs w:val="24"/>
          <w:rFonts w:ascii="宋体" w:eastAsia="Times New Roman" w:hAnsi="Times New Roman" w:hint="default"/>
        </w:rPr>
        <w:t>甲方名称及其资助方地位，或未按甲方的</w:t>
      </w:r>
      <w:r>
        <w:rPr>
          <w:color w:val="auto"/>
          <w:position w:val="0"/>
          <w:sz w:val="24"/>
          <w:szCs w:val="24"/>
          <w:rFonts w:ascii="宋体" w:eastAsia="宋体" w:hAnsi="宋体" w:hint="default"/>
        </w:rPr>
        <w:t>VI</w:t>
      </w:r>
      <w:r>
        <w:rPr>
          <w:color w:val="auto"/>
          <w:position w:val="0"/>
          <w:sz w:val="24"/>
          <w:szCs w:val="24"/>
          <w:rFonts w:ascii="宋体" w:eastAsia="Times New Roman" w:hAnsi="Times New Roman" w:hint="default"/>
        </w:rPr>
        <w:t>标准使用甲方名称及标识的，甲方有</w:t>
      </w:r>
      <w:r>
        <w:rPr>
          <w:color w:val="auto"/>
          <w:position w:val="0"/>
          <w:sz w:val="24"/>
          <w:szCs w:val="24"/>
          <w:rFonts w:ascii="宋体" w:eastAsia="Times New Roman" w:hAnsi="Times New Roman" w:hint="default"/>
        </w:rPr>
        <w:t>权向乙方提出整改意见；若乙方无故不及时整改，甲方有权决定中止拨款，追回</w:t>
      </w:r>
      <w:r>
        <w:rPr>
          <w:color w:val="auto"/>
          <w:position w:val="0"/>
          <w:sz w:val="24"/>
          <w:szCs w:val="24"/>
          <w:rFonts w:ascii="宋体" w:eastAsia="Times New Roman" w:hAnsi="Times New Roman" w:hint="default"/>
        </w:rPr>
        <w:t>已拨款项及使用项目资金购置的物资。</w:t>
      </w: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2.</w:t>
      </w:r>
      <w:r>
        <w:rPr>
          <w:color w:val="auto"/>
          <w:position w:val="0"/>
          <w:sz w:val="24"/>
          <w:szCs w:val="24"/>
          <w:rFonts w:ascii="宋体" w:eastAsia="Times New Roman" w:hAnsi="Times New Roman" w:hint="default"/>
        </w:rPr>
        <w:t>乙方在项目品牌传播上出现以下失误：无故不使用原定的项目品牌，或刻意不</w:t>
      </w:r>
      <w:r>
        <w:rPr>
          <w:color w:val="auto"/>
          <w:position w:val="0"/>
          <w:sz w:val="24"/>
          <w:szCs w:val="24"/>
          <w:rFonts w:ascii="宋体" w:eastAsia="Times New Roman" w:hAnsi="Times New Roman" w:hint="default"/>
        </w:rPr>
        <w:t>提甲方名称及其资助方地位，或恶意诽谤甲方的名誉，甲方有权决定中止拨款，</w:t>
      </w:r>
      <w:r>
        <w:rPr>
          <w:color w:val="auto"/>
          <w:position w:val="0"/>
          <w:sz w:val="24"/>
          <w:szCs w:val="24"/>
          <w:rFonts w:ascii="宋体" w:eastAsia="Times New Roman" w:hAnsi="Times New Roman" w:hint="default"/>
        </w:rPr>
        <w:t>追回已拨款项及使用项目资金购置的物资，并保留通过法律诉讼手段解决问题的</w:t>
      </w:r>
      <w:r>
        <w:rPr>
          <w:color w:val="auto"/>
          <w:position w:val="0"/>
          <w:sz w:val="24"/>
          <w:szCs w:val="24"/>
          <w:rFonts w:ascii="宋体" w:eastAsia="Times New Roman" w:hAnsi="Times New Roman" w:hint="default"/>
        </w:rPr>
        <w:t>权利。</w:t>
      </w: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p>
    <w:p>
      <w:pPr>
        <w:numPr>
          <w:ilvl w:val="0"/>
          <w:numId w:val="0"/>
        </w:numPr>
        <w:jc w:val="left"/>
        <w:spacing w:lineRule="auto" w:line="24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附件二：</w:t>
      </w:r>
    </w:p>
    <w:p>
      <w:pPr>
        <w:numPr>
          <w:ilvl w:val="0"/>
          <w:numId w:val="0"/>
        </w:numPr>
        <w:jc w:val="center"/>
        <w:spacing w:lineRule="auto" w:line="240" w:before="0" w:after="0"/>
        <w:ind w:right="0" w:firstLine="0"/>
        <w:rPr>
          <w:b w:val="1"/>
          <w:color w:val="000000"/>
          <w:position w:val="0"/>
          <w:sz w:val="24"/>
          <w:szCs w:val="24"/>
          <w:rFonts w:ascii="宋体" w:eastAsia="Times New Roman" w:hAnsi="Times New Roman" w:hint="default"/>
        </w:rPr>
        <w:autoSpaceDE w:val="1"/>
        <w:autoSpaceDN w:val="1"/>
      </w:pPr>
      <w:r>
        <w:rPr>
          <w:b w:val="1"/>
          <w:color w:val="000000"/>
          <w:position w:val="0"/>
          <w:sz w:val="24"/>
          <w:szCs w:val="24"/>
          <w:rFonts w:ascii="宋体" w:eastAsia="Times New Roman" w:hAnsi="Times New Roman" w:hint="default"/>
        </w:rPr>
        <w:t>福建省正荣公益基金会资助项目财务管理办法</w:t>
      </w:r>
    </w:p>
    <w:p>
      <w:pPr>
        <w:numPr>
          <w:ilvl w:val="0"/>
          <w:numId w:val="0"/>
        </w:numPr>
        <w:jc w:val="both"/>
        <w:spacing w:lineRule="auto" w:line="240" w:before="0" w:after="0"/>
        <w:ind w:right="0" w:firstLine="0"/>
        <w:rPr>
          <w:color w:val="000000"/>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360"/>
        <w:rPr>
          <w:color w:val="auto"/>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《福建省正荣公益基金会项目财务管理办法》依据《中华人民共和国会计法》</w:t>
      </w:r>
      <w:r>
        <w:rPr>
          <w:color w:val="000000"/>
          <w:position w:val="0"/>
          <w:sz w:val="24"/>
          <w:szCs w:val="24"/>
          <w:rFonts w:ascii="宋体" w:eastAsia="Times New Roman" w:hAnsi="Times New Roman" w:hint="default"/>
        </w:rPr>
        <w:t>和基金会相关财务标准编写，旨在规范项目资金运作及财务管理活动，提高会</w:t>
      </w:r>
      <w:r>
        <w:rPr>
          <w:color w:val="auto"/>
          <w:position w:val="0"/>
          <w:sz w:val="24"/>
          <w:szCs w:val="24"/>
          <w:rFonts w:ascii="宋体" w:eastAsia="Times New Roman" w:hAnsi="Times New Roman" w:hint="default"/>
        </w:rPr>
        <w:t>计</w:t>
      </w:r>
      <w:r>
        <w:rPr>
          <w:color w:val="auto"/>
          <w:position w:val="0"/>
          <w:sz w:val="24"/>
          <w:szCs w:val="24"/>
          <w:rFonts w:ascii="宋体" w:eastAsia="Times New Roman" w:hAnsi="Times New Roman" w:hint="default"/>
        </w:rPr>
        <w:t>信息质量。</w:t>
      </w:r>
    </w:p>
    <w:p>
      <w:pPr>
        <w:numPr>
          <w:ilvl w:val="0"/>
          <w:numId w:val="0"/>
        </w:numPr>
        <w:jc w:val="both"/>
        <w:spacing w:lineRule="auto" w:line="360" w:before="0" w:after="0"/>
        <w:ind w:right="0" w:firstLine="480"/>
        <w:rPr>
          <w:b w:val="1"/>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不论项目合作伙伴处于何种注册方式，选用何种会计制度组织核算，作为福</w:t>
      </w:r>
      <w:r>
        <w:rPr>
          <w:color w:val="auto"/>
          <w:position w:val="0"/>
          <w:sz w:val="24"/>
          <w:szCs w:val="24"/>
          <w:rFonts w:ascii="宋体" w:eastAsia="Times New Roman" w:hAnsi="Times New Roman" w:hint="default"/>
        </w:rPr>
        <w:t>建省正荣公益基金会（以下简称正荣基金会）项目财务管理基本标准和底线要求，</w:t>
      </w:r>
      <w:r>
        <w:rPr>
          <w:color w:val="auto"/>
          <w:position w:val="0"/>
          <w:sz w:val="24"/>
          <w:szCs w:val="24"/>
          <w:rFonts w:ascii="宋体" w:eastAsia="Times New Roman" w:hAnsi="Times New Roman" w:hint="default"/>
        </w:rPr>
        <w:t>项目合作伙伴应该遵循本管理办法的规定</w:t>
      </w:r>
      <w:r>
        <w:rPr>
          <w:color w:val="0000FF"/>
          <w:position w:val="0"/>
          <w:sz w:val="24"/>
          <w:szCs w:val="24"/>
          <w:rFonts w:ascii="宋体" w:eastAsia="Times New Roman" w:hAnsi="Times New Roman" w:hint="default"/>
        </w:rPr>
        <w:t>。</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一、项目收入及账目</w:t>
      </w:r>
    </w:p>
    <w:p>
      <w:pPr>
        <w:bidi w:val="0"/>
        <w:numPr>
          <w:ilvl w:val="0"/>
          <w:numId w:val="5"/>
        </w:numPr>
        <w:jc w:val="both"/>
        <w:spacing w:lineRule="auto" w:line="360" w:before="0" w:after="0"/>
        <w:ind w:right="0" w:left="425" w:hanging="425"/>
        <w:tabs>
          <w:tab w:val="left" w:pos="425"/>
          <w:tab w:val="left" w:pos="425"/>
          <w:tab w:val="left" w:pos="425"/>
        </w:tabs>
        <w:rPr>
          <w:color w:val="auto"/>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项目合作伙伴收到</w:t>
      </w:r>
      <w:r>
        <w:rPr>
          <w:color w:val="auto"/>
          <w:position w:val="0"/>
          <w:sz w:val="24"/>
          <w:szCs w:val="24"/>
          <w:rFonts w:ascii="宋体" w:eastAsia="Times New Roman" w:hAnsi="Times New Roman" w:hint="default"/>
        </w:rPr>
        <w:t>拨款应开具正规票据，并寄回福建省正荣公益基金会，并</w:t>
      </w:r>
      <w:r>
        <w:rPr>
          <w:color w:val="auto"/>
          <w:position w:val="0"/>
          <w:sz w:val="24"/>
          <w:szCs w:val="24"/>
          <w:rFonts w:ascii="宋体" w:eastAsia="Times New Roman" w:hAnsi="Times New Roman" w:hint="default"/>
        </w:rPr>
        <w:t>按项目拨款金额及时入账。银行或财务手续费或项目管理费，应作为费用从</w:t>
      </w:r>
      <w:r>
        <w:rPr>
          <w:color w:val="auto"/>
          <w:position w:val="0"/>
          <w:sz w:val="24"/>
          <w:szCs w:val="24"/>
          <w:rFonts w:ascii="宋体" w:eastAsia="Times New Roman" w:hAnsi="Times New Roman" w:hint="default"/>
        </w:rPr>
        <w:t>项目支出中核销。</w:t>
      </w:r>
    </w:p>
    <w:p>
      <w:pPr>
        <w:pStyle w:val="PO164"/>
        <w:bidi w:val="0"/>
        <w:numPr>
          <w:ilvl w:val="0"/>
          <w:numId w:val="5"/>
        </w:numPr>
        <w:jc w:val="both"/>
        <w:spacing w:lineRule="auto" w:line="360" w:before="0" w:after="0"/>
        <w:ind w:right="0" w:left="425" w:hanging="425"/>
        <w:tabs>
          <w:tab w:val="left" w:pos="425"/>
          <w:tab w:val="left" w:pos="425"/>
          <w:tab w:val="left" w:pos="425"/>
        </w:tabs>
        <w:rPr>
          <w:color w:val="auto"/>
          <w:position w:val="0"/>
          <w:sz w:val="24"/>
          <w:szCs w:val="24"/>
          <w:rFonts w:ascii="宋体" w:eastAsia="Calibri" w:hAnsi="Calibri" w:hint="default"/>
        </w:rPr>
        <w:autoSpaceDE w:val="1"/>
        <w:autoSpaceDN w:val="1"/>
      </w:pPr>
      <w:r>
        <w:rPr>
          <w:color w:val="auto"/>
          <w:position w:val="0"/>
          <w:sz w:val="24"/>
          <w:szCs w:val="24"/>
          <w:rFonts w:ascii="宋体" w:eastAsia="Calibri" w:hAnsi="Calibri" w:hint="default"/>
        </w:rPr>
        <w:t>项目拨款应根据资金来源，按资助者、分项目设置明细账。</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二、项目支出及账目</w:t>
      </w:r>
    </w:p>
    <w:p>
      <w:pPr>
        <w:bidi w:val="0"/>
        <w:numPr>
          <w:ilvl w:val="0"/>
          <w:numId w:val="5"/>
        </w:numPr>
        <w:jc w:val="both"/>
        <w:spacing w:lineRule="auto" w:line="360" w:before="0" w:after="0"/>
        <w:ind w:right="0" w:left="425" w:hanging="425"/>
        <w:tabs>
          <w:tab w:val="left" w:pos="425"/>
          <w:tab w:val="left" w:pos="425"/>
          <w:tab w:val="left" w:pos="425"/>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项目支出明细账设置应与项目预算框架和科目一致，保证实际支出与预算相</w:t>
      </w:r>
      <w:r>
        <w:rPr>
          <w:color w:val="auto"/>
          <w:position w:val="0"/>
          <w:sz w:val="24"/>
          <w:szCs w:val="24"/>
          <w:rFonts w:ascii="宋体" w:eastAsia="Times New Roman" w:hAnsi="Times New Roman" w:hint="default"/>
        </w:rPr>
        <w:t>对应，核算结果要能反映项目预算完成情况，满足编制项目财务报告的需要。</w:t>
      </w:r>
    </w:p>
    <w:p>
      <w:pPr>
        <w:bidi w:val="0"/>
        <w:numPr>
          <w:ilvl w:val="0"/>
          <w:numId w:val="5"/>
        </w:numPr>
        <w:jc w:val="both"/>
        <w:spacing w:lineRule="auto" w:line="360" w:before="0" w:after="0"/>
        <w:ind w:right="0" w:left="425" w:hanging="425"/>
        <w:tabs>
          <w:tab w:val="left" w:pos="425"/>
          <w:tab w:val="left" w:pos="425"/>
          <w:tab w:val="left" w:pos="425"/>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项目支出应分项目，分活动，分费用设置明细账，要能够清楚反映每一笔明</w:t>
      </w:r>
      <w:r>
        <w:rPr>
          <w:color w:val="auto"/>
          <w:position w:val="0"/>
          <w:sz w:val="24"/>
          <w:szCs w:val="24"/>
          <w:rFonts w:ascii="宋体" w:eastAsia="Times New Roman" w:hAnsi="Times New Roman" w:hint="default"/>
        </w:rPr>
        <w:t>细支出。</w:t>
      </w:r>
    </w:p>
    <w:p>
      <w:pPr>
        <w:bidi w:val="0"/>
        <w:numPr>
          <w:ilvl w:val="0"/>
          <w:numId w:val="5"/>
        </w:numPr>
        <w:jc w:val="both"/>
        <w:spacing w:lineRule="auto" w:line="360" w:before="0" w:after="0"/>
        <w:ind w:right="0" w:left="425" w:hanging="425"/>
        <w:tabs>
          <w:tab w:val="left" w:pos="425"/>
          <w:tab w:val="left" w:pos="425"/>
          <w:tab w:val="left" w:pos="425"/>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如果一个合作伙伴同一时期负责一个以上项目，每个项目须有独立的明细</w:t>
      </w:r>
      <w:r>
        <w:rPr>
          <w:color w:val="auto"/>
          <w:position w:val="0"/>
          <w:sz w:val="24"/>
          <w:szCs w:val="24"/>
          <w:rFonts w:ascii="宋体" w:eastAsia="Times New Roman" w:hAnsi="Times New Roman" w:hint="default"/>
        </w:rPr>
        <w:t>账。</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三、费用报销要求：</w:t>
      </w:r>
    </w:p>
    <w:p>
      <w:pPr>
        <w:numPr>
          <w:ilvl w:val="0"/>
          <w:numId w:val="0"/>
        </w:numPr>
        <w:jc w:val="both"/>
        <w:spacing w:lineRule="auto" w:line="360" w:before="0" w:after="0"/>
        <w:ind w:left="315" w:right="0" w:firstLine="0"/>
        <w:rPr>
          <w:color w:val="000000"/>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所有项目支出应取得有效票据，经财务复核，项目负责人审批才能报销，</w:t>
      </w:r>
      <w:r>
        <w:rPr>
          <w:color w:val="000000"/>
          <w:position w:val="0"/>
          <w:sz w:val="24"/>
          <w:szCs w:val="24"/>
          <w:rFonts w:ascii="宋体" w:eastAsia="Times New Roman" w:hAnsi="Times New Roman" w:hint="default"/>
        </w:rPr>
        <w:t>费用</w:t>
      </w:r>
      <w:r>
        <w:rPr>
          <w:color w:val="000000"/>
          <w:position w:val="0"/>
          <w:sz w:val="24"/>
          <w:szCs w:val="24"/>
          <w:rFonts w:ascii="宋体" w:eastAsia="Times New Roman" w:hAnsi="Times New Roman" w:hint="default"/>
        </w:rPr>
        <w:t>报销应严格执行项目预算内容、标准和用途，采用实报实销、实事求是的原则。</w:t>
      </w:r>
    </w:p>
    <w:p>
      <w:pPr>
        <w:bidi w:val="0"/>
        <w:numPr>
          <w:ilvl w:val="0"/>
          <w:numId w:val="6"/>
        </w:numPr>
        <w:jc w:val="both"/>
        <w:spacing w:lineRule="auto" w:line="360" w:before="0" w:after="0"/>
        <w:ind w:right="0" w:left="360" w:hanging="36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合作伙伴应该按照批准的预算使用资金。当预算需调整的情况发生时，合作</w:t>
      </w:r>
      <w:r>
        <w:rPr>
          <w:color w:val="auto"/>
          <w:position w:val="0"/>
          <w:sz w:val="24"/>
          <w:szCs w:val="24"/>
          <w:rFonts w:ascii="宋体" w:eastAsia="Times New Roman" w:hAnsi="Times New Roman" w:hint="default"/>
        </w:rPr>
        <w:t>伙伴应事前与正荣公益基金会的相关项目主管协商，并提出书面申请，获得正</w:t>
      </w:r>
      <w:r>
        <w:rPr>
          <w:color w:val="auto"/>
          <w:position w:val="0"/>
          <w:sz w:val="24"/>
          <w:szCs w:val="24"/>
          <w:rFonts w:ascii="宋体" w:eastAsia="Times New Roman" w:hAnsi="Times New Roman" w:hint="default"/>
        </w:rPr>
        <w:t>荣基金会负责项目主管的书面批准后才能变更资金用途。正荣基金会有权拒</w:t>
      </w:r>
      <w:r>
        <w:rPr>
          <w:color w:val="auto"/>
          <w:position w:val="0"/>
          <w:sz w:val="24"/>
          <w:szCs w:val="24"/>
          <w:rFonts w:ascii="宋体" w:eastAsia="Times New Roman" w:hAnsi="Times New Roman" w:hint="default"/>
        </w:rPr>
        <w:t>绝拨付或收回未经正式批准的用于项目活动变更的资金。</w:t>
      </w:r>
    </w:p>
    <w:p>
      <w:pPr>
        <w:bidi w:val="0"/>
        <w:numPr>
          <w:ilvl w:val="0"/>
          <w:numId w:val="6"/>
        </w:numPr>
        <w:jc w:val="both"/>
        <w:spacing w:lineRule="auto" w:line="360" w:before="0" w:after="0"/>
        <w:ind w:right="0" w:left="360" w:hanging="360"/>
        <w:rPr>
          <w:b w:val="1"/>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购买物资或价值超过</w:t>
      </w:r>
      <w:r>
        <w:rPr>
          <w:color w:val="000000"/>
          <w:position w:val="0"/>
          <w:sz w:val="24"/>
          <w:szCs w:val="24"/>
          <w:rFonts w:ascii="宋体" w:eastAsia="宋体" w:hAnsi="宋体" w:hint="default"/>
        </w:rPr>
        <w:t>2,000</w:t>
      </w:r>
      <w:r>
        <w:rPr>
          <w:color w:val="000000"/>
          <w:position w:val="0"/>
          <w:sz w:val="24"/>
          <w:szCs w:val="24"/>
          <w:rFonts w:ascii="宋体" w:eastAsia="Times New Roman" w:hAnsi="Times New Roman" w:hint="default"/>
        </w:rPr>
        <w:t>元</w:t>
      </w:r>
      <w:r>
        <w:rPr>
          <w:color w:val="auto"/>
          <w:position w:val="0"/>
          <w:sz w:val="24"/>
          <w:szCs w:val="24"/>
          <w:rFonts w:ascii="宋体" w:eastAsia="Times New Roman" w:hAnsi="Times New Roman" w:hint="default"/>
        </w:rPr>
        <w:t>的单件耐用品，或成批购买低值耐用品而总金</w:t>
      </w:r>
      <w:r>
        <w:rPr>
          <w:color w:val="auto"/>
          <w:position w:val="0"/>
          <w:sz w:val="24"/>
          <w:szCs w:val="24"/>
          <w:rFonts w:ascii="宋体" w:eastAsia="Times New Roman" w:hAnsi="Times New Roman" w:hint="default"/>
        </w:rPr>
        <w:t>额超过</w:t>
      </w:r>
      <w:r>
        <w:rPr>
          <w:color w:val="auto"/>
          <w:position w:val="0"/>
          <w:sz w:val="24"/>
          <w:szCs w:val="24"/>
          <w:rFonts w:ascii="宋体" w:eastAsia="宋体" w:hAnsi="宋体" w:hint="default"/>
        </w:rPr>
        <w:t>2,000</w:t>
      </w:r>
      <w:r>
        <w:rPr>
          <w:color w:val="auto"/>
          <w:position w:val="0"/>
          <w:sz w:val="24"/>
          <w:szCs w:val="24"/>
          <w:rFonts w:ascii="宋体" w:eastAsia="Times New Roman" w:hAnsi="Times New Roman" w:hint="default"/>
        </w:rPr>
        <w:t>元时，需要至少取得三家供货商的书面报价或报价记录（包括供</w:t>
      </w:r>
      <w:r>
        <w:rPr>
          <w:color w:val="auto"/>
          <w:position w:val="0"/>
          <w:sz w:val="24"/>
          <w:szCs w:val="24"/>
          <w:rFonts w:ascii="宋体" w:eastAsia="Times New Roman" w:hAnsi="Times New Roman" w:hint="default"/>
        </w:rPr>
        <w:t>货商名称、地点、电话、品名、型号、规格、等级、单价、合计金额等资料），</w:t>
      </w:r>
      <w:r>
        <w:rPr>
          <w:color w:val="auto"/>
          <w:position w:val="0"/>
          <w:sz w:val="24"/>
          <w:szCs w:val="24"/>
          <w:rFonts w:ascii="宋体" w:eastAsia="Times New Roman" w:hAnsi="Times New Roman" w:hint="default"/>
        </w:rPr>
        <w:t>在综合权衡质量、性能、价格、售后服务等因素后，在预算资金范围内决定购</w:t>
      </w:r>
      <w:r>
        <w:rPr>
          <w:color w:val="auto"/>
          <w:position w:val="0"/>
          <w:sz w:val="24"/>
          <w:szCs w:val="24"/>
          <w:rFonts w:ascii="宋体" w:eastAsia="Times New Roman" w:hAnsi="Times New Roman" w:hint="default"/>
        </w:rPr>
        <w:t>买，并保存供应商报价资料。</w:t>
      </w:r>
    </w:p>
    <w:p>
      <w:pPr>
        <w:bidi w:val="0"/>
        <w:numPr>
          <w:ilvl w:val="0"/>
          <w:numId w:val="6"/>
        </w:numPr>
        <w:jc w:val="both"/>
        <w:spacing w:lineRule="auto" w:line="360" w:before="0" w:after="0"/>
        <w:ind w:right="0" w:left="360" w:hanging="36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发放现金、物资应编制相应的花名册注明领受人的姓名、身份证号码、单位、</w:t>
      </w:r>
      <w:r>
        <w:rPr>
          <w:color w:val="auto"/>
          <w:position w:val="0"/>
          <w:sz w:val="24"/>
          <w:szCs w:val="24"/>
          <w:rFonts w:ascii="宋体" w:eastAsia="Times New Roman" w:hAnsi="Times New Roman" w:hint="default"/>
        </w:rPr>
        <w:t>职务、领受物品的名称、数量并由领受人本人签字。</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四、费用报销票据要求</w:t>
      </w:r>
    </w:p>
    <w:p>
      <w:pPr>
        <w:bidi w:val="0"/>
        <w:numPr>
          <w:ilvl w:val="0"/>
          <w:numId w:val="7"/>
        </w:numPr>
        <w:jc w:val="both"/>
        <w:spacing w:lineRule="auto" w:line="360" w:before="0" w:after="0"/>
        <w:ind w:right="0" w:left="360" w:hanging="360"/>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项目发生支出必须取得有效的原始单据。报销下列费用除发票外，还需要明</w:t>
      </w:r>
      <w:r>
        <w:rPr>
          <w:color w:val="000000"/>
          <w:position w:val="0"/>
          <w:sz w:val="24"/>
          <w:szCs w:val="24"/>
          <w:rFonts w:ascii="宋体" w:eastAsia="Times New Roman" w:hAnsi="Times New Roman" w:hint="default"/>
        </w:rPr>
        <w:t>细资料：</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在酒店举办会议或培训报销食宿费、会议室租金：需要在发票后附酒店提</w:t>
      </w:r>
      <w:r>
        <w:rPr>
          <w:color w:val="auto"/>
          <w:position w:val="0"/>
          <w:sz w:val="24"/>
          <w:szCs w:val="24"/>
          <w:rFonts w:ascii="宋体" w:eastAsia="Times New Roman" w:hAnsi="Times New Roman" w:hint="default"/>
        </w:rPr>
        <w:t>供的结算明细清单；</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报销餐费：需要说明用餐日期、用餐人、报销理由，但出差期间的包干餐</w:t>
      </w:r>
      <w:r>
        <w:rPr>
          <w:color w:val="auto"/>
          <w:position w:val="0"/>
          <w:sz w:val="24"/>
          <w:szCs w:val="24"/>
          <w:rFonts w:ascii="宋体" w:eastAsia="Times New Roman" w:hAnsi="Times New Roman" w:hint="default"/>
        </w:rPr>
        <w:t>费除外。</w:t>
      </w:r>
    </w:p>
    <w:p>
      <w:pPr>
        <w:bidi w:val="0"/>
        <w:numPr>
          <w:ilvl w:val="0"/>
          <w:numId w:val="8"/>
        </w:numPr>
        <w:jc w:val="both"/>
        <w:spacing w:lineRule="auto" w:line="360" w:before="0" w:after="0"/>
        <w:ind w:left="777" w:right="0" w:hanging="357"/>
        <w:tabs>
          <w:tab w:val="left" w:pos="780"/>
          <w:tab w:val="left" w:pos="780"/>
          <w:tab w:val="left" w:pos="780"/>
        </w:tabs>
        <w:rPr>
          <w:color w:val="000000"/>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访点或考察报销租车费：需要在发票后注明用车期间、用车人、目的地、</w:t>
      </w:r>
      <w:r>
        <w:rPr>
          <w:color w:val="auto"/>
          <w:position w:val="0"/>
          <w:sz w:val="24"/>
          <w:szCs w:val="24"/>
          <w:rFonts w:ascii="宋体" w:eastAsia="Times New Roman" w:hAnsi="Times New Roman" w:hint="default"/>
        </w:rPr>
        <w:t>用车目的、租车单价等信息；</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回程交通费票据必须由使用人寄回合作伙伴财务，作为原始单据报销入</w:t>
      </w:r>
      <w:r>
        <w:rPr>
          <w:color w:val="000000"/>
          <w:position w:val="0"/>
          <w:sz w:val="24"/>
          <w:szCs w:val="24"/>
          <w:rFonts w:ascii="宋体" w:eastAsia="Times New Roman" w:hAnsi="Times New Roman" w:hint="default"/>
        </w:rPr>
        <w:t>帐。</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市内交通报销出租车费：需要在车票上注明用车日期、用车人、用车目</w:t>
      </w:r>
      <w:r>
        <w:rPr>
          <w:color w:val="auto"/>
          <w:position w:val="0"/>
          <w:sz w:val="24"/>
          <w:szCs w:val="24"/>
          <w:rFonts w:ascii="宋体" w:eastAsia="Times New Roman" w:hAnsi="Times New Roman" w:hint="default"/>
        </w:rPr>
        <w:t>的、目的地、出租车费金额等信息。每次最高不超过</w:t>
      </w:r>
      <w:r>
        <w:rPr>
          <w:color w:val="auto"/>
          <w:position w:val="0"/>
          <w:sz w:val="24"/>
          <w:szCs w:val="24"/>
          <w:rFonts w:ascii="宋体" w:eastAsia="宋体" w:hAnsi="宋体" w:hint="default"/>
        </w:rPr>
        <w:t>100</w:t>
      </w:r>
      <w:r>
        <w:rPr>
          <w:color w:val="auto"/>
          <w:position w:val="0"/>
          <w:sz w:val="24"/>
          <w:szCs w:val="24"/>
          <w:rFonts w:ascii="宋体" w:eastAsia="Times New Roman" w:hAnsi="Times New Roman" w:hint="default"/>
        </w:rPr>
        <w:t>元，长途应使用</w:t>
      </w:r>
      <w:r>
        <w:rPr>
          <w:color w:val="auto"/>
          <w:position w:val="0"/>
          <w:sz w:val="24"/>
          <w:szCs w:val="24"/>
          <w:rFonts w:ascii="宋体" w:eastAsia="Times New Roman" w:hAnsi="Times New Roman" w:hint="default"/>
        </w:rPr>
        <w:t>公共交通工具；</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报销必要的办公用品或文具：需要在发票后附超市小票或明细清单；</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报销打印费或复印费：需要在发票后附打印或复印资料的名称、数量、单</w:t>
      </w:r>
      <w:r>
        <w:rPr>
          <w:color w:val="auto"/>
          <w:position w:val="0"/>
          <w:sz w:val="24"/>
          <w:szCs w:val="24"/>
          <w:rFonts w:ascii="宋体" w:eastAsia="Times New Roman" w:hAnsi="Times New Roman" w:hint="default"/>
        </w:rPr>
        <w:t>价等信息；</w:t>
      </w:r>
    </w:p>
    <w:p>
      <w:pPr>
        <w:bidi w:val="0"/>
        <w:numPr>
          <w:ilvl w:val="0"/>
          <w:numId w:val="8"/>
        </w:numPr>
        <w:jc w:val="both"/>
        <w:spacing w:lineRule="auto" w:line="360" w:before="0" w:after="0"/>
        <w:ind w:left="777" w:right="0" w:hanging="357"/>
        <w:tabs>
          <w:tab w:val="left" w:pos="780"/>
          <w:tab w:val="left" w:pos="780"/>
          <w:tab w:val="left" w:pos="780"/>
        </w:tabs>
        <w:rPr>
          <w:color w:val="auto"/>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支付基建工程款，购买大宗赈灾物资，需要附上支持此项付款的相关文</w:t>
      </w:r>
      <w:r>
        <w:rPr>
          <w:color w:val="000000"/>
          <w:position w:val="0"/>
          <w:sz w:val="24"/>
          <w:szCs w:val="24"/>
          <w:rFonts w:ascii="宋体" w:eastAsia="Times New Roman" w:hAnsi="Times New Roman" w:hint="default"/>
        </w:rPr>
        <w:t>件、审批资料、合同或协议书等。</w:t>
      </w:r>
    </w:p>
    <w:p>
      <w:pPr>
        <w:bidi w:val="0"/>
        <w:numPr>
          <w:ilvl w:val="0"/>
          <w:numId w:val="7"/>
        </w:numPr>
        <w:jc w:val="both"/>
        <w:spacing w:lineRule="auto" w:line="360" w:before="0" w:after="0"/>
        <w:ind w:right="0" w:left="360" w:hanging="360"/>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基于诚信和会计责任，购买物品或服务应该尽可能取得国家税务部门印发的</w:t>
      </w:r>
      <w:r>
        <w:rPr>
          <w:color w:val="000000"/>
          <w:position w:val="0"/>
          <w:sz w:val="24"/>
          <w:szCs w:val="24"/>
          <w:rFonts w:ascii="宋体" w:eastAsia="Times New Roman" w:hAnsi="Times New Roman" w:hint="default"/>
        </w:rPr>
        <w:t>正规发票，并由经办人和证明人签字，项目负责人审批。</w:t>
      </w:r>
    </w:p>
    <w:p>
      <w:pPr>
        <w:bidi w:val="0"/>
        <w:numPr>
          <w:ilvl w:val="0"/>
          <w:numId w:val="7"/>
        </w:numPr>
        <w:jc w:val="both"/>
        <w:spacing w:lineRule="auto" w:line="360" w:before="0" w:after="0"/>
        <w:ind w:right="0" w:left="360" w:hanging="360"/>
        <w:rPr>
          <w:b w:val="1"/>
          <w:color w:val="auto"/>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使用项目资金支付人员工资、劳务费、补贴，赈灾项目发放现金或物资需要</w:t>
      </w:r>
      <w:r>
        <w:rPr>
          <w:color w:val="000000"/>
          <w:position w:val="0"/>
          <w:sz w:val="24"/>
          <w:szCs w:val="24"/>
          <w:rFonts w:ascii="宋体" w:eastAsia="Times New Roman" w:hAnsi="Times New Roman" w:hint="default"/>
        </w:rPr>
        <w:t>自己制作单据的，单据须清楚反映支付的内容、标准、数量、金额，经手、签</w:t>
      </w:r>
      <w:r>
        <w:rPr>
          <w:color w:val="000000"/>
          <w:position w:val="0"/>
          <w:sz w:val="24"/>
          <w:szCs w:val="24"/>
          <w:rFonts w:ascii="宋体" w:eastAsia="Times New Roman" w:hAnsi="Times New Roman" w:hint="default"/>
        </w:rPr>
        <w:t>收、审批手续齐全，同时，应符合项目预算的标准。</w:t>
      </w:r>
    </w:p>
    <w:p>
      <w:pPr>
        <w:bidi w:val="0"/>
        <w:numPr>
          <w:ilvl w:val="0"/>
          <w:numId w:val="7"/>
        </w:numPr>
        <w:jc w:val="both"/>
        <w:spacing w:lineRule="auto" w:line="360" w:before="0" w:after="0"/>
        <w:ind w:right="0" w:left="360" w:hanging="360"/>
        <w:rPr>
          <w:b w:val="1"/>
          <w:color w:val="auto"/>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“财务管理费”以实际拨付的项目资金总额为基数，按双方同意的比例计算，</w:t>
      </w:r>
      <w:r>
        <w:rPr>
          <w:color w:val="000000"/>
          <w:position w:val="0"/>
          <w:sz w:val="24"/>
          <w:szCs w:val="24"/>
          <w:rFonts w:ascii="宋体" w:eastAsia="Times New Roman" w:hAnsi="Times New Roman" w:hint="default"/>
        </w:rPr>
        <w:t>而不是按项目批准预算的管理费总额提取的。项目预算中规定了管理费上限</w:t>
      </w:r>
      <w:r>
        <w:rPr>
          <w:color w:val="000000"/>
          <w:position w:val="0"/>
          <w:sz w:val="24"/>
          <w:szCs w:val="24"/>
          <w:rFonts w:ascii="宋体" w:eastAsia="Times New Roman" w:hAnsi="Times New Roman" w:hint="default"/>
        </w:rPr>
        <w:t>的，管理费不得超过双方同意的上限。</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五、项目财务报告</w:t>
      </w:r>
    </w:p>
    <w:p>
      <w:pPr>
        <w:pStyle w:val="PO164"/>
        <w:bidi w:val="0"/>
        <w:numPr>
          <w:ilvl w:val="0"/>
          <w:numId w:val="9"/>
        </w:numPr>
        <w:jc w:val="both"/>
        <w:spacing w:lineRule="auto" w:line="360" w:before="0" w:after="0"/>
        <w:ind w:right="0" w:left="360" w:hanging="360"/>
        <w:rPr>
          <w:b w:val="1"/>
          <w:color w:val="000000"/>
          <w:position w:val="0"/>
          <w:sz w:val="24"/>
          <w:szCs w:val="24"/>
          <w:rFonts w:ascii="宋体" w:eastAsia="Calibri" w:hAnsi="Calibri" w:hint="default"/>
        </w:rPr>
        <w:autoSpaceDE w:val="1"/>
        <w:autoSpaceDN w:val="1"/>
      </w:pPr>
      <w:r>
        <w:rPr>
          <w:color w:val="000000"/>
          <w:position w:val="0"/>
          <w:sz w:val="24"/>
          <w:szCs w:val="24"/>
          <w:rFonts w:ascii="宋体" w:eastAsia="Calibri" w:hAnsi="Calibri" w:hint="default"/>
        </w:rPr>
        <w:t>合作伙伴应根据项目协议书中约定的时间向正荣基金会提交项目财务报告。</w:t>
      </w:r>
    </w:p>
    <w:p>
      <w:pPr>
        <w:pStyle w:val="PO164"/>
        <w:bidi w:val="0"/>
        <w:numPr>
          <w:ilvl w:val="0"/>
          <w:numId w:val="9"/>
        </w:numPr>
        <w:jc w:val="both"/>
        <w:spacing w:lineRule="auto" w:line="360" w:before="0" w:after="0"/>
        <w:ind w:right="0" w:left="360" w:hanging="360"/>
        <w:rPr>
          <w:b w:val="1"/>
          <w:color w:val="000000"/>
          <w:position w:val="0"/>
          <w:sz w:val="24"/>
          <w:szCs w:val="24"/>
          <w:rFonts w:ascii="宋体" w:eastAsia="Calibri" w:hAnsi="Calibri" w:hint="default"/>
        </w:rPr>
        <w:autoSpaceDE w:val="1"/>
        <w:autoSpaceDN w:val="1"/>
      </w:pPr>
      <w:r>
        <w:rPr>
          <w:color w:val="auto"/>
          <w:position w:val="0"/>
          <w:sz w:val="24"/>
          <w:szCs w:val="24"/>
          <w:rFonts w:ascii="宋体" w:eastAsia="Calibri" w:hAnsi="Calibri" w:hint="default"/>
        </w:rPr>
        <w:t>项目财务报告应按项目预算框架和科目编制，保证项目实际支出与预算相对</w:t>
      </w:r>
      <w:r>
        <w:rPr>
          <w:color w:val="auto"/>
          <w:position w:val="0"/>
          <w:sz w:val="24"/>
          <w:szCs w:val="24"/>
          <w:rFonts w:ascii="宋体" w:eastAsia="Calibri" w:hAnsi="Calibri" w:hint="default"/>
        </w:rPr>
        <w:t>应，有效反映项目预算执行情况，并保证报告内容真实、完整，数字准确无误。</w:t>
      </w:r>
    </w:p>
    <w:p>
      <w:pPr>
        <w:pStyle w:val="PO164"/>
        <w:bidi w:val="0"/>
        <w:numPr>
          <w:ilvl w:val="0"/>
          <w:numId w:val="9"/>
        </w:numPr>
        <w:jc w:val="both"/>
        <w:spacing w:lineRule="auto" w:line="360" w:before="0" w:after="0"/>
        <w:ind w:right="0" w:left="360" w:hanging="360"/>
        <w:rPr>
          <w:b w:val="1"/>
          <w:color w:val="000000"/>
          <w:position w:val="0"/>
          <w:sz w:val="24"/>
          <w:szCs w:val="24"/>
          <w:rFonts w:ascii="宋体" w:eastAsia="Calibri" w:hAnsi="Calibri" w:hint="default"/>
        </w:rPr>
        <w:autoSpaceDE w:val="1"/>
        <w:autoSpaceDN w:val="1"/>
      </w:pPr>
      <w:r>
        <w:rPr>
          <w:color w:val="auto"/>
          <w:position w:val="0"/>
          <w:sz w:val="24"/>
          <w:szCs w:val="24"/>
          <w:rFonts w:ascii="宋体" w:eastAsia="Calibri" w:hAnsi="Calibri" w:hint="default"/>
        </w:rPr>
        <w:t>项目财务报告主要包括四部份内容：</w:t>
      </w:r>
    </w:p>
    <w:p>
      <w:pPr>
        <w:bidi w:val="0"/>
        <w:numPr>
          <w:ilvl w:val="1"/>
          <w:numId w:val="10"/>
        </w:numPr>
        <w:jc w:val="both"/>
        <w:spacing w:lineRule="auto" w:line="360" w:before="0" w:after="0"/>
        <w:ind w:left="786" w:right="0" w:hanging="360"/>
        <w:tabs>
          <w:tab w:val="left" w:pos="786"/>
          <w:tab w:val="left" w:pos="786"/>
          <w:tab w:val="left" w:pos="786"/>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简述项目财务管理及控制情况；</w:t>
      </w:r>
    </w:p>
    <w:p>
      <w:pPr>
        <w:bidi w:val="0"/>
        <w:numPr>
          <w:ilvl w:val="1"/>
          <w:numId w:val="10"/>
        </w:numPr>
        <w:jc w:val="both"/>
        <w:spacing w:lineRule="auto" w:line="360" w:before="0" w:after="0"/>
        <w:ind w:left="786" w:right="0" w:hanging="360"/>
        <w:tabs>
          <w:tab w:val="left" w:pos="786"/>
          <w:tab w:val="left" w:pos="786"/>
          <w:tab w:val="left" w:pos="786"/>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项目收款明细；</w:t>
      </w:r>
    </w:p>
    <w:p>
      <w:pPr>
        <w:bidi w:val="0"/>
        <w:numPr>
          <w:ilvl w:val="1"/>
          <w:numId w:val="10"/>
        </w:numPr>
        <w:jc w:val="both"/>
        <w:spacing w:lineRule="auto" w:line="360" w:before="0" w:after="0"/>
        <w:ind w:left="786" w:right="0" w:hanging="360"/>
        <w:tabs>
          <w:tab w:val="left" w:pos="786"/>
          <w:tab w:val="left" w:pos="786"/>
          <w:tab w:val="left" w:pos="786"/>
        </w:tabs>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项目支出明细；</w:t>
      </w:r>
    </w:p>
    <w:p>
      <w:pPr>
        <w:numPr>
          <w:ilvl w:val="0"/>
          <w:numId w:val="0"/>
        </w:numPr>
        <w:jc w:val="both"/>
        <w:spacing w:lineRule="auto" w:line="360" w:before="0" w:after="0"/>
        <w:ind w:right="0" w:firstLine="480"/>
        <w:rPr>
          <w:b w:val="1"/>
          <w:color w:val="000000"/>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d</w:t>
      </w:r>
      <w:r>
        <w:rPr>
          <w:color w:val="auto"/>
          <w:position w:val="0"/>
          <w:sz w:val="24"/>
          <w:szCs w:val="24"/>
          <w:rFonts w:ascii="宋体" w:eastAsia="Times New Roman" w:hAnsi="Times New Roman" w:hint="default"/>
        </w:rPr>
        <w:t>、超支或节余资金分析及重要会计事项说明。</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六、财务资料保存</w:t>
      </w:r>
    </w:p>
    <w:p>
      <w:pPr>
        <w:numPr>
          <w:ilvl w:val="0"/>
          <w:numId w:val="0"/>
        </w:numPr>
        <w:jc w:val="both"/>
        <w:spacing w:lineRule="auto" w:line="360" w:before="0" w:after="0"/>
        <w:ind w:right="0" w:firstLine="475"/>
        <w:rPr>
          <w:b w:val="1"/>
          <w:color w:val="000000"/>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项目财务资料包括：原始票据（结算清单、明细单、小票等）、记账凭证、</w:t>
      </w:r>
      <w:r>
        <w:rPr>
          <w:color w:val="auto"/>
          <w:position w:val="0"/>
          <w:sz w:val="24"/>
          <w:szCs w:val="24"/>
          <w:rFonts w:ascii="宋体" w:eastAsia="Times New Roman" w:hAnsi="Times New Roman" w:hint="default"/>
        </w:rPr>
        <w:t>会计账簿、财务报表、项目活动变更批复、不可预见费使用批复，以及与项目支</w:t>
      </w:r>
      <w:r>
        <w:rPr>
          <w:color w:val="auto"/>
          <w:position w:val="0"/>
          <w:sz w:val="24"/>
          <w:szCs w:val="24"/>
          <w:rFonts w:ascii="宋体" w:eastAsia="Times New Roman" w:hAnsi="Times New Roman" w:hint="default"/>
        </w:rPr>
        <w:t>出直接相关的合同、协议、记录等资料，应及时整理、装订和保存，并参照国家</w:t>
      </w:r>
      <w:r>
        <w:rPr>
          <w:color w:val="auto"/>
          <w:position w:val="0"/>
          <w:sz w:val="24"/>
          <w:szCs w:val="24"/>
          <w:rFonts w:ascii="宋体" w:eastAsia="Times New Roman" w:hAnsi="Times New Roman" w:hint="default"/>
        </w:rPr>
        <w:t>《会计档案管理规定》处置。</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七、审计与余款</w:t>
      </w:r>
    </w:p>
    <w:p>
      <w:pPr>
        <w:numPr>
          <w:ilvl w:val="0"/>
          <w:numId w:val="0"/>
        </w:numPr>
        <w:jc w:val="both"/>
        <w:spacing w:lineRule="auto" w:line="360" w:before="0" w:after="0"/>
        <w:ind w:right="0" w:left="360" w:hanging="360"/>
        <w:rPr>
          <w:b w:val="1"/>
          <w:color w:val="000000"/>
          <w:position w:val="0"/>
          <w:sz w:val="24"/>
          <w:szCs w:val="24"/>
          <w:rFonts w:ascii="宋体" w:eastAsia="Times New Roman" w:hAnsi="Times New Roman" w:hint="default"/>
        </w:rPr>
        <w:autoSpaceDE w:val="1"/>
        <w:autoSpaceDN w:val="1"/>
      </w:pPr>
      <w:r>
        <w:rPr>
          <w:color w:val="auto"/>
          <w:position w:val="0"/>
          <w:sz w:val="24"/>
          <w:szCs w:val="24"/>
          <w:rFonts w:ascii="宋体" w:eastAsia="宋体" w:hAnsi="宋体" w:hint="default"/>
        </w:rPr>
        <w:t xml:space="preserve">1. </w:t>
      </w:r>
      <w:r>
        <w:rPr>
          <w:color w:val="auto"/>
          <w:position w:val="0"/>
          <w:sz w:val="24"/>
          <w:szCs w:val="24"/>
          <w:rFonts w:ascii="宋体" w:eastAsia="Times New Roman" w:hAnsi="Times New Roman" w:hint="default"/>
        </w:rPr>
        <w:t>对于超过人民币五万元的资助，正荣基金会将视情况在项目实施期间或结束</w:t>
      </w:r>
      <w:r>
        <w:rPr>
          <w:color w:val="auto"/>
          <w:position w:val="0"/>
          <w:sz w:val="24"/>
          <w:szCs w:val="24"/>
          <w:rFonts w:ascii="宋体" w:eastAsia="Times New Roman" w:hAnsi="Times New Roman" w:hint="default"/>
        </w:rPr>
        <w:t>后，安排本机构人员，或聘请外部审计机构对项目财务进行独立检查或审计，</w:t>
      </w:r>
      <w:r>
        <w:rPr>
          <w:color w:val="auto"/>
          <w:position w:val="0"/>
          <w:sz w:val="24"/>
          <w:szCs w:val="24"/>
          <w:rFonts w:ascii="宋体" w:eastAsia="Times New Roman" w:hAnsi="Times New Roman" w:hint="default"/>
        </w:rPr>
        <w:t>合作伙伴有责任提供相关资料和必要的工作便利，积极协助配合。</w:t>
      </w:r>
    </w:p>
    <w:p>
      <w:pPr>
        <w:numPr>
          <w:ilvl w:val="0"/>
          <w:numId w:val="0"/>
        </w:numPr>
        <w:jc w:val="both"/>
        <w:spacing w:lineRule="auto" w:line="360" w:before="0" w:after="0"/>
        <w:ind w:right="0" w:left="361" w:hanging="361"/>
        <w:rPr>
          <w:b w:val="1"/>
          <w:color w:val="000000"/>
          <w:position w:val="0"/>
          <w:sz w:val="24"/>
          <w:szCs w:val="24"/>
          <w:highlight w:val="yellow"/>
          <w:rFonts w:ascii="宋体" w:eastAsia="Times New Roman" w:hAnsi="Times New Roman" w:hint="default"/>
        </w:rPr>
        <w:autoSpaceDE w:val="1"/>
        <w:autoSpaceDN w:val="1"/>
      </w:pPr>
      <w:r>
        <w:rPr>
          <w:b w:val="1"/>
          <w:color w:val="000000"/>
          <w:position w:val="0"/>
          <w:sz w:val="24"/>
          <w:szCs w:val="24"/>
          <w:rFonts w:ascii="宋体" w:eastAsia="宋体" w:hAnsi="宋体" w:hint="default"/>
        </w:rPr>
        <w:t xml:space="preserve">2. </w:t>
      </w:r>
      <w:r>
        <w:rPr>
          <w:color w:val="auto"/>
          <w:position w:val="0"/>
          <w:sz w:val="24"/>
          <w:szCs w:val="24"/>
          <w:rFonts w:ascii="宋体" w:eastAsia="Times New Roman" w:hAnsi="Times New Roman" w:hint="default"/>
        </w:rPr>
        <w:t>项目结束后，正荣基金会对项目结余款拥有所有权和处置权，并将在项目结束</w:t>
      </w:r>
      <w:r>
        <w:rPr>
          <w:color w:val="auto"/>
          <w:position w:val="0"/>
          <w:sz w:val="24"/>
          <w:szCs w:val="24"/>
          <w:rFonts w:ascii="宋体" w:eastAsia="Times New Roman" w:hAnsi="Times New Roman" w:hint="default"/>
        </w:rPr>
        <w:t>时收回或作妥善处置。</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八、财务监督与公开</w:t>
      </w:r>
    </w:p>
    <w:p>
      <w:pPr>
        <w:numPr>
          <w:ilvl w:val="0"/>
          <w:numId w:val="0"/>
        </w:numPr>
        <w:jc w:val="both"/>
        <w:spacing w:lineRule="auto" w:line="360" w:before="0" w:after="0"/>
        <w:ind w:right="0" w:firstLine="470"/>
        <w:rPr>
          <w:b w:val="1"/>
          <w:color w:val="000000"/>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合作伙伴应该建立必要的财务管理制度，采取有效的资金监管和控制措施，</w:t>
      </w:r>
      <w:r>
        <w:rPr>
          <w:color w:val="auto"/>
          <w:position w:val="0"/>
          <w:sz w:val="24"/>
          <w:szCs w:val="24"/>
          <w:rFonts w:ascii="宋体" w:eastAsia="Times New Roman" w:hAnsi="Times New Roman" w:hint="default"/>
        </w:rPr>
        <w:t>确保项目资金安全，项目财务信息应在机构员工例会、理事会或通过其他途径在</w:t>
      </w:r>
      <w:r>
        <w:rPr>
          <w:color w:val="auto"/>
          <w:position w:val="0"/>
          <w:sz w:val="24"/>
          <w:szCs w:val="24"/>
          <w:rFonts w:ascii="宋体" w:eastAsia="Times New Roman" w:hAnsi="Times New Roman" w:hint="default"/>
        </w:rPr>
        <w:t>适当的范围内公布，接受员工、资助方和相关群体的监督，提高项目财务运作的</w:t>
      </w:r>
      <w:r>
        <w:rPr>
          <w:color w:val="auto"/>
          <w:position w:val="0"/>
          <w:sz w:val="24"/>
          <w:szCs w:val="24"/>
          <w:rFonts w:ascii="宋体" w:eastAsia="Times New Roman" w:hAnsi="Times New Roman" w:hint="default"/>
        </w:rPr>
        <w:t>透明度和问责性。</w:t>
      </w: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p>
    <w:p>
      <w:pPr>
        <w:numPr>
          <w:ilvl w:val="0"/>
          <w:numId w:val="0"/>
        </w:numPr>
        <w:jc w:val="both"/>
        <w:spacing w:lineRule="auto" w:line="360" w:before="0" w:after="0"/>
        <w:ind w:right="0" w:firstLine="0"/>
        <w:rPr>
          <w:b w:val="1"/>
          <w:color w:val="auto"/>
          <w:position w:val="0"/>
          <w:sz w:val="24"/>
          <w:szCs w:val="24"/>
          <w:rFonts w:ascii="宋体" w:eastAsia="Times New Roman" w:hAnsi="Times New Roman" w:hint="default"/>
        </w:rPr>
        <w:autoSpaceDE w:val="1"/>
        <w:autoSpaceDN w:val="1"/>
      </w:pPr>
      <w:r>
        <w:rPr>
          <w:b w:val="1"/>
          <w:color w:val="auto"/>
          <w:position w:val="0"/>
          <w:sz w:val="24"/>
          <w:szCs w:val="24"/>
          <w:rFonts w:ascii="宋体" w:eastAsia="Times New Roman" w:hAnsi="Times New Roman" w:hint="default"/>
        </w:rPr>
        <w:t>九、其他事项</w:t>
      </w:r>
    </w:p>
    <w:p>
      <w:pPr>
        <w:numPr>
          <w:ilvl w:val="0"/>
          <w:numId w:val="0"/>
        </w:numPr>
        <w:jc w:val="both"/>
        <w:spacing w:lineRule="auto" w:line="360" w:before="0" w:after="0"/>
        <w:ind w:right="0" w:left="360" w:hanging="360"/>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宋体" w:hAnsi="宋体" w:hint="default"/>
        </w:rPr>
        <w:t xml:space="preserve">1. </w:t>
      </w:r>
      <w:r>
        <w:rPr>
          <w:color w:val="000000"/>
          <w:position w:val="0"/>
          <w:sz w:val="24"/>
          <w:szCs w:val="24"/>
          <w:rFonts w:ascii="宋体" w:eastAsia="Times New Roman" w:hAnsi="Times New Roman" w:hint="default"/>
        </w:rPr>
        <w:t>合作伙伴的项目或财务出现严重失误时，正荣基金会将根据具体情况，依据项</w:t>
      </w:r>
      <w:r>
        <w:rPr>
          <w:color w:val="000000"/>
          <w:position w:val="0"/>
          <w:sz w:val="24"/>
          <w:szCs w:val="24"/>
          <w:rFonts w:ascii="宋体" w:eastAsia="Times New Roman" w:hAnsi="Times New Roman" w:hint="default"/>
        </w:rPr>
        <w:t>目协议书中的条款，决定中止拨款，追回已拨款项及使用项目资金购置的物资，</w:t>
      </w:r>
      <w:r>
        <w:rPr>
          <w:color w:val="000000"/>
          <w:position w:val="0"/>
          <w:sz w:val="24"/>
          <w:szCs w:val="24"/>
          <w:rFonts w:ascii="宋体" w:eastAsia="Times New Roman" w:hAnsi="Times New Roman" w:hint="default"/>
        </w:rPr>
        <w:t>并保留通过法律诉讼手段解决问题的权利。</w:t>
      </w:r>
    </w:p>
    <w:p>
      <w:pPr>
        <w:numPr>
          <w:ilvl w:val="0"/>
          <w:numId w:val="0"/>
        </w:numPr>
        <w:jc w:val="both"/>
        <w:spacing w:lineRule="auto" w:line="360" w:before="0" w:after="0"/>
        <w:ind w:right="0" w:left="360" w:hanging="360"/>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宋体" w:hAnsi="宋体" w:hint="default"/>
        </w:rPr>
        <w:t xml:space="preserve">2. </w:t>
      </w:r>
      <w:r>
        <w:rPr>
          <w:color w:val="000000"/>
          <w:position w:val="0"/>
          <w:sz w:val="24"/>
          <w:szCs w:val="24"/>
          <w:rFonts w:ascii="宋体" w:eastAsia="Times New Roman" w:hAnsi="Times New Roman" w:hint="default"/>
        </w:rPr>
        <w:t>在项目财务管理中，正荣基金会不接受任何违反国家法规、不诚实、营私舞弊、</w:t>
      </w:r>
      <w:r>
        <w:rPr>
          <w:color w:val="000000"/>
          <w:position w:val="0"/>
          <w:sz w:val="24"/>
          <w:szCs w:val="24"/>
          <w:rFonts w:ascii="宋体" w:eastAsia="Times New Roman" w:hAnsi="Times New Roman" w:hint="default"/>
        </w:rPr>
        <w:t>虚假报告等行为，包括以下及其他并未列出的行为：</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已注册机构把项目资金转存入个人储蓄账户</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采用虚假票据报销套取项目资金</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恶意运用会计技巧套取现金或避税</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编造虚假活动、伪造报销资料</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编造虚假名册，冒领、代领工资或补贴</w:t>
      </w:r>
    </w:p>
    <w:p>
      <w:pPr>
        <w:bidi w:val="0"/>
        <w:numPr>
          <w:ilvl w:val="0"/>
          <w:numId w:val="12"/>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违背员工意愿强迫员工捐赠工资、劳务及补助</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故意向员工或对外公布虚假会计信息</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恶意涂改发票、账本和报表</w:t>
      </w:r>
    </w:p>
    <w:p>
      <w:pPr>
        <w:bidi w:val="0"/>
        <w:numPr>
          <w:ilvl w:val="0"/>
          <w:numId w:val="11"/>
        </w:numPr>
        <w:jc w:val="both"/>
        <w:spacing w:lineRule="auto" w:line="360" w:before="0" w:after="0"/>
        <w:ind w:left="840" w:right="0" w:hanging="420"/>
        <w:tabs>
          <w:tab w:val="left" w:pos="840"/>
          <w:tab w:val="left" w:pos="840"/>
          <w:tab w:val="left" w:pos="840"/>
        </w:tabs>
        <w:rPr>
          <w:color w:val="000000"/>
          <w:position w:val="0"/>
          <w:sz w:val="24"/>
          <w:szCs w:val="24"/>
          <w:rFonts w:ascii="宋体" w:eastAsia="Times New Roman" w:hAnsi="Times New Roman" w:hint="default"/>
        </w:rPr>
        <w:autoSpaceDE w:val="1"/>
        <w:autoSpaceDN w:val="1"/>
      </w:pPr>
      <w:r>
        <w:rPr>
          <w:color w:val="000000"/>
          <w:position w:val="0"/>
          <w:sz w:val="24"/>
          <w:szCs w:val="24"/>
          <w:rFonts w:ascii="宋体" w:eastAsia="Times New Roman" w:hAnsi="Times New Roman" w:hint="default"/>
        </w:rPr>
        <w:t>应该取得发票却大量以白条报账</w:t>
      </w:r>
    </w:p>
    <w:p>
      <w:pPr>
        <w:numPr>
          <w:ilvl w:val="0"/>
          <w:numId w:val="0"/>
        </w:numPr>
        <w:jc w:val="right"/>
        <w:spacing w:lineRule="auto" w:line="360" w:before="0" w:after="0"/>
        <w:ind w:right="0" w:firstLine="0"/>
        <w:rPr>
          <w:color w:val="auto"/>
          <w:position w:val="0"/>
          <w:sz w:val="24"/>
          <w:szCs w:val="24"/>
          <w:rFonts w:ascii="宋体" w:eastAsia="Times New Roman" w:hAnsi="Times New Roman" w:hint="default"/>
        </w:rPr>
        <w:autoSpaceDE w:val="1"/>
        <w:autoSpaceDN w:val="1"/>
      </w:pPr>
      <w:r>
        <w:rPr>
          <w:color w:val="auto"/>
          <w:position w:val="0"/>
          <w:sz w:val="24"/>
          <w:szCs w:val="24"/>
          <w:rFonts w:ascii="宋体" w:eastAsia="Times New Roman" w:hAnsi="Times New Roman" w:hint="default"/>
        </w:rPr>
        <w:t>福建省正荣公益基金会</w:t>
      </w:r>
    </w:p>
    <w:p>
      <w:pPr>
        <w:numPr>
          <w:ilvl w:val="0"/>
          <w:numId w:val="0"/>
        </w:numPr>
        <w:jc w:val="right"/>
        <w:spacing w:lineRule="auto" w:line="360" w:before="0" w:after="0"/>
        <w:ind w:right="0" w:firstLine="0"/>
        <w:rPr>
          <w:color w:val="auto"/>
          <w:position w:val="0"/>
          <w:sz w:val="24"/>
          <w:szCs w:val="24"/>
          <w:rFonts w:ascii="宋体" w:eastAsia="Times New Roman" w:hAnsi="Times New Roman" w:hint="default"/>
        </w:rPr>
        <w:wordWrap w:val="off"/>
        <w:autoSpaceDE w:val="1"/>
        <w:autoSpaceDN w:val="1"/>
      </w:pPr>
      <w:r>
        <w:rPr>
          <w:color w:val="auto"/>
          <w:position w:val="0"/>
          <w:sz w:val="24"/>
          <w:szCs w:val="24"/>
          <w:rFonts w:ascii="宋体" w:eastAsia="宋体" w:hAnsi="宋体" w:hint="default"/>
        </w:rPr>
        <w:t>2014</w:t>
      </w:r>
      <w:r>
        <w:rPr>
          <w:color w:val="auto"/>
          <w:position w:val="0"/>
          <w:sz w:val="24"/>
          <w:szCs w:val="24"/>
          <w:rFonts w:ascii="宋体" w:eastAsia="Times New Roman" w:hAnsi="Times New Roman" w:hint="default"/>
        </w:rPr>
        <w:t>年</w:t>
      </w:r>
      <w:r>
        <w:rPr>
          <w:color w:val="auto"/>
          <w:position w:val="0"/>
          <w:sz w:val="24"/>
          <w:szCs w:val="24"/>
          <w:rFonts w:ascii="宋体" w:eastAsia="宋体" w:hAnsi="宋体" w:hint="default"/>
        </w:rPr>
        <w:t>4</w:t>
      </w:r>
      <w:r>
        <w:rPr>
          <w:color w:val="auto"/>
          <w:position w:val="0"/>
          <w:sz w:val="24"/>
          <w:szCs w:val="24"/>
          <w:rFonts w:ascii="宋体" w:eastAsia="Times New Roman" w:hAnsi="Times New Roman" w:hint="default"/>
        </w:rPr>
        <w:t>月</w:t>
      </w:r>
      <w:r>
        <w:rPr>
          <w:color w:val="auto"/>
          <w:position w:val="0"/>
          <w:sz w:val="24"/>
          <w:szCs w:val="24"/>
          <w:rFonts w:ascii="宋体" w:eastAsia="宋体" w:hAnsi="宋体" w:hint="default"/>
        </w:rPr>
        <w:t>15</w:t>
      </w:r>
      <w:r>
        <w:rPr>
          <w:color w:val="auto"/>
          <w:position w:val="0"/>
          <w:sz w:val="24"/>
          <w:szCs w:val="24"/>
          <w:rFonts w:ascii="宋体" w:eastAsia="Times New Roman" w:hAnsi="Times New Roman" w:hint="default"/>
        </w:rPr>
        <w:t>日</w:t>
      </w:r>
    </w:p>
    <w:p>
      <w:pPr>
        <w:numPr>
          <w:ilvl w:val="0"/>
          <w:numId w:val="0"/>
        </w:numPr>
        <w:jc w:val="both"/>
        <w:spacing w:lineRule="auto" w:line="240" w:before="0" w:after="0"/>
        <w:ind w:right="0" w:firstLine="0"/>
        <w:rPr>
          <w:color w:val="auto"/>
          <w:position w:val="0"/>
          <w:sz w:val="24"/>
          <w:szCs w:val="24"/>
          <w:rFonts w:ascii="Times New Roman" w:eastAsia="Times New Roman" w:hAnsi="Times New Roman" w:hint="default"/>
        </w:rPr>
        <w:autoSpaceDE w:val="1"/>
        <w:autoSpaceDN w:val="1"/>
      </w:pPr>
    </w:p>
    <w:sectPr>
      <w:headerReference w:type="default" r:id="rId6"/>
      <w:footerReference w:type="default" r:id="rId7"/>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Symbol">
    <w:panose1 w:val="020F0502020204030204"/>
    <w:charset w:val="0"/>
    <w:family w:val="mordern"/>
    <w:pitch w:val="variable"/>
    <w:sig w:usb0="A00002EF" w:usb1="4000207B" w:usb2="00000000" w:usb3="00000000" w:csb0="FFFFFFFF" w:csb1="00000000"/>
  </w:font>
  <w:font w:name="Courier New">
    <w:panose1 w:val="020F0502020204030204"/>
    <w:charset w:val="0"/>
    <w:family w:val="mordern"/>
    <w:pitch w:val="variable"/>
    <w:sig w:usb0="A00002EF" w:usb1="4000207B" w:usb2="00000000" w:usb3="00000000" w:csb0="FFFFFFFF" w:csb1="00000000"/>
  </w:font>
  <w:font w:name="黑体">
    <w:panose1 w:val="020F0502020204030204"/>
    <w:charset w:val="0"/>
    <w:family w:val="mordern"/>
    <w:pitch w:val="variable"/>
    <w:sig w:usb0="A00002EF" w:usb1="4000207B" w:usb2="00000000" w:usb3="00000000" w:csb0="FFFFFFFF" w:csb1="00000000"/>
  </w:font>
  <w:font w:name="Arial">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4"/>
      <w:numPr>
        <w:ilvl w:val="0"/>
        <w:numId w:val="0"/>
      </w:numPr>
      <w:jc w:val="center"/>
      <w:spacing w:lineRule="auto" w:line="240" w:before="0" w:after="0"/>
      <w:ind w:right="0" w:firstLine="0"/>
      <w:tabs>
        <w:tab w:val="center" w:pos="4153"/>
        <w:tab w:val="center" w:pos="4153"/>
        <w:tab w:val="right" w:pos="8306"/>
        <w:tab w:val="right" w:pos="8306"/>
      </w:tabs>
      <w:rPr>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color w:val="auto"/>
        <w:position w:val="0"/>
        <w:sz w:val="18"/>
        <w:szCs w:val="18"/>
        <w:rFonts w:ascii="Times New Roman" w:eastAsia="Times New Roman" w:hAnsi="Times New Roman" w:hint="default"/>
      </w:rPr>
      <w:t>4</w:t>
    </w:r>
    <w:r>
      <w:rPr>
        <w:color w:val="auto"/>
        <w:position w:val="0"/>
        <w:sz w:val="18"/>
        <w:szCs w:val="18"/>
        <w:rFonts w:ascii="Times New Roman" w:eastAsia="Times New Roman" w:hAnsi="Times New Roman" w:hint="default"/>
      </w:rPr>
      <w:fldChar w:fldCharType="end"/>
    </w:r>
    <w:r>
      <w:rPr>
        <w:color w:val="auto"/>
        <w:position w:val="0"/>
        <w:sz w:val="18"/>
        <w:szCs w:val="18"/>
        <w:rFonts w:ascii="Times New Roman" w:eastAsia="Times New Roman" w:hAnsi="Times New Roman" w:hint="default"/>
      </w:rPr>
      <w:t>/13</w:t>
    </w:r>
  </w:p>
  <w:p>
    <w:pPr>
      <w:pStyle w:val="PO154"/>
      <w:numPr>
        <w:ilvl w:val="0"/>
        <w:numId w:val="0"/>
      </w:numPr>
      <w:jc w:val="left"/>
      <w:spacing w:lineRule="auto" w:line="240" w:before="0" w:after="0"/>
      <w:ind w:right="0" w:firstLine="0"/>
      <w:tabs>
        <w:tab w:val="center" w:pos="4153"/>
        <w:tab w:val="center" w:pos="4153"/>
        <w:tab w:val="right" w:pos="8306"/>
        <w:tab w:val="right" w:pos="8306"/>
      </w:tabs>
      <w:rPr>
        <w:color w:val="auto"/>
        <w:position w:val="0"/>
        <w:sz w:val="18"/>
        <w:szCs w:val="18"/>
        <w:rFonts w:ascii="Times New Roman" w:eastAsia="Times New Roman" w:hAnsi="Times New Roman" w:hint="default"/>
      </w:rPr>
      <w:snapToGrid w:val="off"/>
      <w:autoSpaceDE w:val="1"/>
      <w:autoSpaceDN w:val="1"/>
    </w:pPr>
  </w:p>
</w:ft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p>
    <w:pPr>
      <w:pStyle w:val="PO156"/>
      <w:numPr>
        <w:ilvl w:val="0"/>
        <w:numId w:val="0"/>
      </w:numPr>
      <w:jc w:val="center"/>
      <w:spacing w:lineRule="auto" w:line="240" w:before="0" w:after="0"/>
      <w:pBdr>
        <w:bottom w:val="single" w:sz="6" w:space="0" w:color="000000"/>
      </w:pBdr>
      <w:ind w:right="0" w:firstLine="0"/>
      <w:tabs>
        <w:tab w:val="center" w:pos="4153"/>
        <w:tab w:val="center" w:pos="4153"/>
        <w:tab w:val="right" w:pos="8306"/>
        <w:tab w:val="right" w:pos="8306"/>
      </w:tabs>
      <w:rPr>
        <w:color w:val="auto"/>
        <w:position w:val="0"/>
        <w:sz w:val="18"/>
        <w:szCs w:val="18"/>
        <w:rFonts w:ascii="Times New Roman" w:eastAsia="Times New Roman" w:hAnsi="Times New Roman" w:hint="default"/>
      </w:rPr>
      <w:snapToGrid w:val="off"/>
      <w:autoSpaceDE w:val="1"/>
      <w:autoSpaceDN w:val="1"/>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type="#_x0000_t75" style="position:absolute;left:0;margin-left:-82pt;mso-position-horizontal:absolute;mso-position-horizontal-relative:text;margin-top:-39pt;mso-position-vertical:absolute;mso-position-vertical-relative:text;width:193.3pt;height:65.9pt;z-index:-251624961" filled="t">
          <v:imagedata r:id="rId1" o:title=" "/>
        </v:shape>
      </w:pict>
    </w:r>
    <w:r>
      <w:rPr>
        <w:color w:val="auto"/>
        <w:position w:val="0"/>
        <w:sz w:val="18"/>
        <w:szCs w:val="18"/>
        <w:rFonts w:ascii="Times New Roman" w:eastAsia="Times New Roman" w:hAnsi="Times New Roman" w:hint="default"/>
      </w:rPr>
      <w:t xml:space="preserve">                                                                   合同编号：JZ2016003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multilevel"/>
    <w:nsid w:val="2F000000"/>
    <w:tmpl w:val="1F000014"/>
    <w:lvl w:ilvl="0">
      <w:lvlJc w:val="left"/>
      <w:numFmt w:val="decimal"/>
      <w:start w:val="1"/>
      <w:suff w:val="tab"/>
      <w:pPr>
        <w:ind w:left="480" w:hanging="480"/>
        <w:jc w:val="both"/>
        <w:tabs>
          <w:tab w:val="left" w:pos="480"/>
        </w:tabs>
      </w:pPr>
      <w:rPr>
        <w:color w:val="000000"/>
        <w:b/>
        <w:shd w:val="clear"/>
        <w:sz w:val="24"/>
        <w:szCs w:val="24"/>
        <w:w w:val="100"/>
      </w:rPr>
      <w:lvlText w:val="%1."/>
    </w:lvl>
    <w:lvl w:ilvl="1">
      <w:lvlJc w:val="left"/>
      <w:numFmt w:val="lowerLetter"/>
      <w:start w:val="1"/>
      <w:suff w:val="tab"/>
      <w:pPr>
        <w:ind w:left="786" w:hanging="360"/>
        <w:jc w:val="both"/>
        <w:tabs>
          <w:tab w:val="left" w:pos="786"/>
        </w:tabs>
      </w:pPr>
      <w:rPr>
        <w:shd w:val="clear"/>
        <w:sz w:val="20"/>
        <w:szCs w:val="20"/>
        <w:w w:val="100"/>
      </w:rPr>
      <w:lvlText w:val="%2、"/>
    </w:lvl>
    <w:lvl w:ilvl="2">
      <w:lvlJc w:val="right"/>
      <w:numFmt w:val="lowerRoman"/>
      <w:start w:val="1"/>
      <w:suff w:val="tab"/>
      <w:pPr>
        <w:ind w:left="1440" w:hanging="480"/>
        <w:jc w:val="both"/>
        <w:tabs>
          <w:tab w:val="left" w:pos="1440"/>
        </w:tabs>
      </w:pPr>
      <w:rPr>
        <w:shd w:val="clear"/>
        <w:sz w:val="20"/>
        <w:szCs w:val="20"/>
        <w:w w:val="100"/>
      </w:rPr>
      <w:lvlText w:val="%3."/>
    </w:lvl>
    <w:lvl w:ilvl="3">
      <w:lvlJc w:val="left"/>
      <w:numFmt w:val="decimal"/>
      <w:start w:val="1"/>
      <w:suff w:val="tab"/>
      <w:pPr>
        <w:ind w:left="1920" w:hanging="480"/>
        <w:jc w:val="both"/>
        <w:tabs>
          <w:tab w:val="left" w:pos="1920"/>
        </w:tabs>
      </w:pPr>
      <w:rPr>
        <w:shd w:val="clear"/>
        <w:sz w:val="20"/>
        <w:szCs w:val="20"/>
        <w:w w:val="100"/>
      </w:rPr>
      <w:lvlText w:val="%4."/>
    </w:lvl>
    <w:lvl w:ilvl="4">
      <w:lvlJc w:val="left"/>
      <w:numFmt w:val="decimal"/>
      <w:start w:val="1"/>
      <w:suff w:val="tab"/>
      <w:pPr>
        <w:ind w:left="2400" w:hanging="480"/>
        <w:jc w:val="both"/>
        <w:tabs>
          <w:tab w:val="left" w:pos="2400"/>
        </w:tabs>
      </w:pPr>
      <w:rPr>
        <w:shd w:val="clear"/>
        <w:sz w:val="20"/>
        <w:szCs w:val="20"/>
        <w:w w:val="100"/>
      </w:rPr>
      <w:lvlText w:val="%5、"/>
    </w:lvl>
    <w:lvl w:ilvl="5">
      <w:lvlJc w:val="right"/>
      <w:numFmt w:val="lowerRoman"/>
      <w:start w:val="1"/>
      <w:suff w:val="tab"/>
      <w:pPr>
        <w:ind w:left="2880" w:hanging="480"/>
        <w:jc w:val="both"/>
        <w:tabs>
          <w:tab w:val="left" w:pos="2880"/>
        </w:tabs>
      </w:pPr>
      <w:rPr>
        <w:shd w:val="clear"/>
        <w:sz w:val="20"/>
        <w:szCs w:val="20"/>
        <w:w w:val="100"/>
      </w:rPr>
      <w:lvlText w:val="%6."/>
    </w:lvl>
    <w:lvl w:ilvl="6">
      <w:lvlJc w:val="left"/>
      <w:numFmt w:val="decimal"/>
      <w:start w:val="1"/>
      <w:suff w:val="tab"/>
      <w:pPr>
        <w:ind w:left="3360" w:hanging="480"/>
        <w:jc w:val="both"/>
        <w:tabs>
          <w:tab w:val="left" w:pos="3360"/>
        </w:tabs>
      </w:pPr>
      <w:rPr>
        <w:shd w:val="clear"/>
        <w:sz w:val="20"/>
        <w:szCs w:val="20"/>
        <w:w w:val="100"/>
      </w:rPr>
      <w:lvlText w:val="%7."/>
    </w:lvl>
    <w:lvl w:ilvl="7">
      <w:lvlJc w:val="left"/>
      <w:numFmt w:val="decimal"/>
      <w:start w:val="1"/>
      <w:suff w:val="tab"/>
      <w:pPr>
        <w:ind w:left="3840" w:hanging="480"/>
        <w:jc w:val="both"/>
        <w:tabs>
          <w:tab w:val="left" w:pos="3840"/>
        </w:tabs>
      </w:pPr>
      <w:rPr>
        <w:shd w:val="clear"/>
        <w:sz w:val="20"/>
        <w:szCs w:val="20"/>
        <w:w w:val="100"/>
      </w:rPr>
      <w:lvlText w:val="%8、"/>
    </w:lvl>
    <w:lvl w:ilvl="8">
      <w:lvlJc w:val="right"/>
      <w:numFmt w:val="lowerRoman"/>
      <w:start w:val="1"/>
      <w:suff w:val="tab"/>
      <w:pPr>
        <w:ind w:left="4320" w:hanging="480"/>
        <w:jc w:val="both"/>
        <w:tabs>
          <w:tab w:val="left" w:pos="4320"/>
        </w:tabs>
      </w:pPr>
      <w:rPr>
        <w:shd w:val="clear"/>
        <w:sz w:val="20"/>
        <w:szCs w:val="20"/>
        <w:w w:val="100"/>
      </w:rPr>
      <w:lvlText w:val="%9."/>
    </w:lvl>
  </w:abstractNum>
  <w:abstractNum w:abstractNumId="1">
    <w:multiLevelType w:val="hybridMultilevel"/>
    <w:nsid w:val="2F000001"/>
    <w:tmpl w:val="1F002411"/>
    <w:lvl w:ilvl="0">
      <w:lvlJc w:val="left"/>
      <w:numFmt w:val="bullet"/>
      <w:start w:val="1"/>
      <w:suff w:val="tab"/>
      <w:pPr>
        <w:ind w:left="840" w:hanging="420"/>
        <w:jc w:val="both"/>
        <w:tabs>
          <w:tab w:val="left" w:pos="840"/>
        </w:tabs>
      </w:pPr>
      <w:rPr>
        <w:rFonts w:ascii="Wingdings" w:eastAsia="Wingdings" w:hAnsi="Wingdings"/>
        <w:shd w:val="clear"/>
        <w:sz w:val="20"/>
        <w:szCs w:val="20"/>
        <w:w w:val="100"/>
      </w:rPr>
      <w:lvlText w:val="l"/>
    </w:lvl>
    <w:lvl w:ilvl="1">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n"/>
    </w:lvl>
    <w:lvl w:ilvl="2">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u"/>
    </w:lvl>
    <w:lvl w:ilvl="3">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l"/>
    </w:lvl>
    <w:lvl w:ilvl="4">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n"/>
    </w:lvl>
    <w:lvl w:ilvl="5">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u"/>
    </w:lvl>
    <w:lvl w:ilvl="6">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l"/>
    </w:lvl>
    <w:lvl w:ilvl="7">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n"/>
    </w:lvl>
    <w:lvl w:ilvl="8">
      <w:lvlJc w:val="left"/>
      <w:numFmt w:val="bullet"/>
      <w:start w:val="1"/>
      <w:suff w:val="tab"/>
      <w:pPr>
        <w:ind w:left="4200" w:hanging="420"/>
        <w:jc w:val="both"/>
        <w:tabs>
          <w:tab w:val="left" w:pos="4200"/>
        </w:tabs>
      </w:pPr>
      <w:rPr>
        <w:rFonts w:ascii="Wingdings" w:eastAsia="Wingdings" w:hAnsi="Wingdings"/>
        <w:shd w:val="clear"/>
        <w:sz w:val="20"/>
        <w:szCs w:val="20"/>
        <w:w w:val="100"/>
      </w:rPr>
      <w:lvlText w:val="u"/>
    </w:lvl>
  </w:abstractNum>
  <w:abstractNum w:abstractNumId="2">
    <w:multiLevelType w:val="hybridMultilevel"/>
    <w:nsid w:val="2F000002"/>
    <w:tmpl w:val="1F000C5F"/>
    <w:lvl w:ilvl="0">
      <w:lvlJc w:val="left"/>
      <w:numFmt w:val="bullet"/>
      <w:suff w:val="tab"/>
      <w:pPr>
        <w:ind w:left="780" w:hanging="360"/>
        <w:jc w:val="both"/>
        <w:tabs>
          <w:tab w:val="left" w:pos="780"/>
        </w:tabs>
      </w:pPr>
      <w:rPr>
        <w:rFonts w:ascii="Wingdings" w:eastAsia="Wingdings" w:hAnsi="Wingdings"/>
        <w:shd w:val="clear"/>
        <w:sz w:val="20"/>
        <w:szCs w:val="20"/>
        <w:w w:val="100"/>
      </w:rPr>
      <w:lvlText w:val="l"/>
    </w:lvl>
    <w:lvl w:ilvl="1">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n"/>
    </w:lvl>
    <w:lvl w:ilvl="2">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u"/>
    </w:lvl>
    <w:lvl w:ilvl="3">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l"/>
    </w:lvl>
    <w:lvl w:ilvl="4">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n"/>
    </w:lvl>
    <w:lvl w:ilvl="5">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u"/>
    </w:lvl>
    <w:lvl w:ilvl="6">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l"/>
    </w:lvl>
    <w:lvl w:ilvl="7">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n"/>
    </w:lvl>
    <w:lvl w:ilvl="8">
      <w:lvlJc w:val="left"/>
      <w:numFmt w:val="bullet"/>
      <w:start w:val="1"/>
      <w:suff w:val="tab"/>
      <w:pPr>
        <w:ind w:left="4200" w:hanging="420"/>
        <w:jc w:val="both"/>
        <w:tabs>
          <w:tab w:val="left" w:pos="4200"/>
        </w:tabs>
      </w:pPr>
      <w:rPr>
        <w:rFonts w:ascii="Wingdings" w:eastAsia="Wingdings" w:hAnsi="Wingdings"/>
        <w:shd w:val="clear"/>
        <w:sz w:val="20"/>
        <w:szCs w:val="20"/>
        <w:w w:val="100"/>
      </w:rPr>
      <w:lvlText w:val="u"/>
    </w:lvl>
  </w:abstractNum>
  <w:abstractNum w:abstractNumId="3">
    <w:multiLevelType w:val="multilevel"/>
    <w:nsid w:val="2F000003"/>
    <w:tmpl w:val="1F0033C2"/>
    <w:lvl w:ilvl="0">
      <w:lvlJc w:val="left"/>
      <w:numFmt w:val="decimal"/>
      <w:start w:val="1"/>
      <w:suff w:val="tab"/>
      <w:pPr>
        <w:ind w:left="425" w:hanging="425"/>
        <w:jc w:val="both"/>
        <w:tabs>
          <w:tab w:val="left" w:pos="425"/>
        </w:tabs>
      </w:pPr>
      <w:rPr>
        <w:color w:val="000000"/>
        <w:b w:val="0"/>
        <w:shd w:val="clear"/>
        <w:sz w:val="20"/>
        <w:szCs w:val="20"/>
        <w:w w:val="100"/>
      </w:rPr>
      <w:lvlText w:val="%1."/>
    </w:lvl>
    <w:lvl w:ilvl="1">
      <w:lvlJc w:val="left"/>
      <w:numFmt w:val="decimal"/>
      <w:start w:val="1"/>
      <w:suff w:val="tab"/>
      <w:pPr>
        <w:ind w:left="480" w:hanging="480"/>
        <w:jc w:val="both"/>
        <w:tabs>
          <w:tab w:val="left" w:pos="480"/>
        </w:tabs>
      </w:pPr>
      <w:rPr>
        <w:color w:val="0000FF"/>
        <w:shd w:val="clear"/>
        <w:sz w:val="20"/>
        <w:szCs w:val="20"/>
        <w:w w:val="100"/>
      </w:rPr>
      <w:lvlText w:val="%1.%2"/>
    </w:lvl>
    <w:lvl w:ilvl="2">
      <w:lvlJc w:val="left"/>
      <w:numFmt w:val="decimal"/>
      <w:start w:val="1"/>
      <w:suff w:val="tab"/>
      <w:pPr>
        <w:ind w:left="720" w:hanging="720"/>
        <w:jc w:val="both"/>
        <w:tabs>
          <w:tab w:val="left" w:pos="720"/>
        </w:tabs>
      </w:pPr>
      <w:rPr>
        <w:color w:val="0000FF"/>
        <w:shd w:val="clear"/>
        <w:sz w:val="20"/>
        <w:szCs w:val="20"/>
        <w:w w:val="100"/>
      </w:rPr>
      <w:lvlText w:val="%1.%2.%3"/>
    </w:lvl>
    <w:lvl w:ilvl="3">
      <w:lvlJc w:val="left"/>
      <w:numFmt w:val="decimal"/>
      <w:start w:val="1"/>
      <w:suff w:val="tab"/>
      <w:pPr>
        <w:ind w:left="1080" w:hanging="1080"/>
        <w:jc w:val="both"/>
        <w:tabs>
          <w:tab w:val="left" w:pos="1080"/>
        </w:tabs>
      </w:pPr>
      <w:rPr>
        <w:color w:val="0000FF"/>
        <w:shd w:val="clear"/>
        <w:sz w:val="20"/>
        <w:szCs w:val="20"/>
        <w:w w:val="100"/>
      </w:rPr>
      <w:lvlText w:val="%1.%2.%3.%4"/>
    </w:lvl>
    <w:lvl w:ilvl="4">
      <w:lvlJc w:val="left"/>
      <w:numFmt w:val="decimal"/>
      <w:start w:val="1"/>
      <w:suff w:val="tab"/>
      <w:pPr>
        <w:ind w:left="1080" w:hanging="1080"/>
        <w:jc w:val="both"/>
        <w:tabs>
          <w:tab w:val="left" w:pos="1080"/>
        </w:tabs>
      </w:pPr>
      <w:rPr>
        <w:color w:val="0000FF"/>
        <w:shd w:val="clear"/>
        <w:sz w:val="20"/>
        <w:szCs w:val="20"/>
        <w:w w:val="100"/>
      </w:rPr>
      <w:lvlText w:val="%1.%2.%3.%4.%5"/>
    </w:lvl>
    <w:lvl w:ilvl="5">
      <w:lvlJc w:val="left"/>
      <w:numFmt w:val="decimal"/>
      <w:start w:val="1"/>
      <w:suff w:val="tab"/>
      <w:pPr>
        <w:ind w:left="1440" w:hanging="1440"/>
        <w:jc w:val="both"/>
        <w:tabs>
          <w:tab w:val="left" w:pos="1440"/>
        </w:tabs>
      </w:pPr>
      <w:rPr>
        <w:color w:val="0000FF"/>
        <w:shd w:val="clear"/>
        <w:sz w:val="20"/>
        <w:szCs w:val="20"/>
        <w:w w:val="100"/>
      </w:rPr>
      <w:lvlText w:val="%1.%2.%3.%4.%5.%6"/>
    </w:lvl>
    <w:lvl w:ilvl="6">
      <w:lvlJc w:val="left"/>
      <w:numFmt w:val="decimal"/>
      <w:start w:val="1"/>
      <w:suff w:val="tab"/>
      <w:pPr>
        <w:ind w:left="1800" w:hanging="1800"/>
        <w:jc w:val="both"/>
        <w:tabs>
          <w:tab w:val="left" w:pos="1800"/>
        </w:tabs>
      </w:pPr>
      <w:rPr>
        <w:color w:val="0000FF"/>
        <w:shd w:val="clear"/>
        <w:sz w:val="20"/>
        <w:szCs w:val="20"/>
        <w:w w:val="100"/>
      </w:rPr>
      <w:lvlText w:val="%1.%2.%3.%4.%5.%6.%7"/>
    </w:lvl>
    <w:lvl w:ilvl="7">
      <w:lvlJc w:val="left"/>
      <w:numFmt w:val="decimal"/>
      <w:start w:val="1"/>
      <w:suff w:val="tab"/>
      <w:pPr>
        <w:ind w:left="1800" w:hanging="1800"/>
        <w:jc w:val="both"/>
        <w:tabs>
          <w:tab w:val="left" w:pos="1800"/>
        </w:tabs>
      </w:pPr>
      <w:rPr>
        <w:color w:val="0000FF"/>
        <w:shd w:val="clear"/>
        <w:sz w:val="20"/>
        <w:szCs w:val="20"/>
        <w:w w:val="100"/>
      </w:rPr>
      <w:lvlText w:val="%1.%2.%3.%4.%5.%6.%7.%8"/>
    </w:lvl>
    <w:lvl w:ilvl="8">
      <w:lvlJc w:val="left"/>
      <w:numFmt w:val="decimal"/>
      <w:start w:val="1"/>
      <w:suff w:val="tab"/>
      <w:pPr>
        <w:ind w:left="2160" w:hanging="2160"/>
        <w:jc w:val="both"/>
        <w:tabs>
          <w:tab w:val="left" w:pos="2160"/>
        </w:tabs>
      </w:pPr>
      <w:rPr>
        <w:color w:val="0000FF"/>
        <w:shd w:val="clear"/>
        <w:sz w:val="20"/>
        <w:szCs w:val="20"/>
        <w:w w:val="100"/>
      </w:rPr>
      <w:lvlText w:val="%1.%2.%3.%4.%5.%6.%7.%8.%9"/>
    </w:lvl>
  </w:abstractNum>
  <w:abstractNum w:abstractNumId="4">
    <w:multiLevelType w:val="hybridMultilevel"/>
    <w:nsid w:val="2F000004"/>
    <w:tmpl w:val="1F002570"/>
    <w:lvl w:ilvl="0">
      <w:lvlJc w:val="left"/>
      <w:numFmt w:val="bullet"/>
      <w:start w:val="1"/>
      <w:suff w:val="tab"/>
      <w:pPr>
        <w:ind w:left="840" w:hanging="420"/>
        <w:jc w:val="both"/>
        <w:tabs>
          <w:tab w:val="left" w:pos="840"/>
        </w:tabs>
      </w:pPr>
      <w:rPr>
        <w:rFonts w:ascii="Wingdings" w:eastAsia="Wingdings" w:hAnsi="Wingdings"/>
        <w:shd w:val="clear"/>
        <w:sz w:val="20"/>
        <w:szCs w:val="20"/>
        <w:w w:val="100"/>
      </w:rPr>
      <w:lvlText w:val="l"/>
    </w:lvl>
    <w:lvl w:ilvl="1">
      <w:lvlJc w:val="left"/>
      <w:numFmt w:val="bullet"/>
      <w:start w:val="1"/>
      <w:suff w:val="tab"/>
      <w:pPr>
        <w:ind w:left="1260" w:hanging="420"/>
        <w:jc w:val="both"/>
        <w:tabs>
          <w:tab w:val="left" w:pos="1260"/>
        </w:tabs>
      </w:pPr>
      <w:rPr>
        <w:rFonts w:ascii="Wingdings" w:eastAsia="Wingdings" w:hAnsi="Wingdings"/>
        <w:shd w:val="clear"/>
        <w:sz w:val="20"/>
        <w:szCs w:val="20"/>
        <w:w w:val="100"/>
      </w:rPr>
      <w:lvlText w:val="n"/>
    </w:lvl>
    <w:lvl w:ilvl="2">
      <w:lvlJc w:val="left"/>
      <w:numFmt w:val="bullet"/>
      <w:start w:val="1"/>
      <w:suff w:val="tab"/>
      <w:pPr>
        <w:ind w:left="1680" w:hanging="420"/>
        <w:jc w:val="both"/>
        <w:tabs>
          <w:tab w:val="left" w:pos="1680"/>
        </w:tabs>
      </w:pPr>
      <w:rPr>
        <w:rFonts w:ascii="Wingdings" w:eastAsia="Wingdings" w:hAnsi="Wingdings"/>
        <w:shd w:val="clear"/>
        <w:sz w:val="20"/>
        <w:szCs w:val="20"/>
        <w:w w:val="100"/>
      </w:rPr>
      <w:lvlText w:val="u"/>
    </w:lvl>
    <w:lvl w:ilvl="3">
      <w:lvlJc w:val="left"/>
      <w:numFmt w:val="bullet"/>
      <w:start w:val="1"/>
      <w:suff w:val="tab"/>
      <w:pPr>
        <w:ind w:left="2100" w:hanging="420"/>
        <w:jc w:val="both"/>
        <w:tabs>
          <w:tab w:val="left" w:pos="2100"/>
        </w:tabs>
      </w:pPr>
      <w:rPr>
        <w:rFonts w:ascii="Wingdings" w:eastAsia="Wingdings" w:hAnsi="Wingdings"/>
        <w:shd w:val="clear"/>
        <w:sz w:val="20"/>
        <w:szCs w:val="20"/>
        <w:w w:val="100"/>
      </w:rPr>
      <w:lvlText w:val="l"/>
    </w:lvl>
    <w:lvl w:ilvl="4">
      <w:lvlJc w:val="left"/>
      <w:numFmt w:val="bullet"/>
      <w:start w:val="1"/>
      <w:suff w:val="tab"/>
      <w:pPr>
        <w:ind w:left="2520" w:hanging="420"/>
        <w:jc w:val="both"/>
        <w:tabs>
          <w:tab w:val="left" w:pos="2520"/>
        </w:tabs>
      </w:pPr>
      <w:rPr>
        <w:rFonts w:ascii="Wingdings" w:eastAsia="Wingdings" w:hAnsi="Wingdings"/>
        <w:shd w:val="clear"/>
        <w:sz w:val="20"/>
        <w:szCs w:val="20"/>
        <w:w w:val="100"/>
      </w:rPr>
      <w:lvlText w:val="n"/>
    </w:lvl>
    <w:lvl w:ilvl="5">
      <w:lvlJc w:val="left"/>
      <w:numFmt w:val="bullet"/>
      <w:start w:val="1"/>
      <w:suff w:val="tab"/>
      <w:pPr>
        <w:ind w:left="2940" w:hanging="420"/>
        <w:jc w:val="both"/>
        <w:tabs>
          <w:tab w:val="left" w:pos="2940"/>
        </w:tabs>
      </w:pPr>
      <w:rPr>
        <w:rFonts w:ascii="Wingdings" w:eastAsia="Wingdings" w:hAnsi="Wingdings"/>
        <w:shd w:val="clear"/>
        <w:sz w:val="20"/>
        <w:szCs w:val="20"/>
        <w:w w:val="100"/>
      </w:rPr>
      <w:lvlText w:val="u"/>
    </w:lvl>
    <w:lvl w:ilvl="6">
      <w:lvlJc w:val="left"/>
      <w:numFmt w:val="bullet"/>
      <w:start w:val="1"/>
      <w:suff w:val="tab"/>
      <w:pPr>
        <w:ind w:left="3360" w:hanging="420"/>
        <w:jc w:val="both"/>
        <w:tabs>
          <w:tab w:val="left" w:pos="3360"/>
        </w:tabs>
      </w:pPr>
      <w:rPr>
        <w:rFonts w:ascii="Wingdings" w:eastAsia="Wingdings" w:hAnsi="Wingdings"/>
        <w:shd w:val="clear"/>
        <w:sz w:val="20"/>
        <w:szCs w:val="20"/>
        <w:w w:val="100"/>
      </w:rPr>
      <w:lvlText w:val="l"/>
    </w:lvl>
    <w:lvl w:ilvl="7">
      <w:lvlJc w:val="left"/>
      <w:numFmt w:val="bullet"/>
      <w:start w:val="1"/>
      <w:suff w:val="tab"/>
      <w:pPr>
        <w:ind w:left="3780" w:hanging="420"/>
        <w:jc w:val="both"/>
        <w:tabs>
          <w:tab w:val="left" w:pos="3780"/>
        </w:tabs>
      </w:pPr>
      <w:rPr>
        <w:rFonts w:ascii="Wingdings" w:eastAsia="Wingdings" w:hAnsi="Wingdings"/>
        <w:shd w:val="clear"/>
        <w:sz w:val="20"/>
        <w:szCs w:val="20"/>
        <w:w w:val="100"/>
      </w:rPr>
      <w:lvlText w:val="n"/>
    </w:lvl>
    <w:lvl w:ilvl="8">
      <w:lvlJc w:val="left"/>
      <w:numFmt w:val="bullet"/>
      <w:start w:val="1"/>
      <w:suff w:val="tab"/>
      <w:pPr>
        <w:ind w:left="4200" w:hanging="420"/>
        <w:jc w:val="both"/>
        <w:tabs>
          <w:tab w:val="left" w:pos="4200"/>
        </w:tabs>
      </w:pPr>
      <w:rPr>
        <w:rFonts w:ascii="Wingdings" w:eastAsia="Wingdings" w:hAnsi="Wingdings"/>
        <w:shd w:val="clear"/>
        <w:sz w:val="20"/>
        <w:szCs w:val="20"/>
        <w:w w:val="100"/>
      </w:rPr>
      <w:lvlText w:val="u"/>
    </w:lvl>
  </w:abstractNum>
  <w:abstractNum w:abstractNumId="5">
    <w:multiLevelType w:val="hybridMultilevel"/>
    <w:nsid w:val="2F000005"/>
    <w:tmpl w:val="1F001EB6"/>
    <w:lvl w:ilvl="0">
      <w:lvlJc w:val="left"/>
      <w:numFmt w:val="decimal"/>
      <w:start w:val="2"/>
      <w:suff w:val="tab"/>
      <w:pPr>
        <w:ind w:left="960" w:hanging="360"/>
        <w:jc w:val="both"/>
        <w:tabs>
          <w:tab w:val="left" w:pos="960"/>
        </w:tabs>
      </w:pPr>
      <w:rPr>
        <w:shd w:val="clear"/>
        <w:sz w:val="20"/>
        <w:szCs w:val="20"/>
        <w:w w:val="100"/>
      </w:rPr>
      <w:lvlText w:val="%1、"/>
    </w:lvl>
    <w:lvl w:ilvl="1">
      <w:lvlJc w:val="left"/>
      <w:numFmt w:val="lowerLetter"/>
      <w:start w:val="1"/>
      <w:suff w:val="tab"/>
      <w:pPr>
        <w:ind w:left="1440" w:hanging="420"/>
        <w:jc w:val="both"/>
        <w:tabs>
          <w:tab w:val="left" w:pos="1440"/>
        </w:tabs>
      </w:pPr>
      <w:rPr>
        <w:shd w:val="clear"/>
        <w:sz w:val="20"/>
        <w:szCs w:val="20"/>
        <w:w w:val="100"/>
      </w:rPr>
      <w:lvlText w:val="%2)"/>
    </w:lvl>
    <w:lvl w:ilvl="2">
      <w:lvlJc w:val="right"/>
      <w:numFmt w:val="lowerRoman"/>
      <w:start w:val="1"/>
      <w:suff w:val="tab"/>
      <w:pPr>
        <w:ind w:left="1860" w:hanging="420"/>
        <w:jc w:val="both"/>
        <w:tabs>
          <w:tab w:val="left" w:pos="1860"/>
        </w:tabs>
      </w:pPr>
      <w:rPr>
        <w:shd w:val="clear"/>
        <w:sz w:val="20"/>
        <w:szCs w:val="20"/>
        <w:w w:val="100"/>
      </w:rPr>
      <w:lvlText w:val="%3."/>
    </w:lvl>
    <w:lvl w:ilvl="3">
      <w:lvlJc w:val="left"/>
      <w:numFmt w:val="decimal"/>
      <w:start w:val="1"/>
      <w:suff w:val="tab"/>
      <w:pPr>
        <w:ind w:left="2280" w:hanging="420"/>
        <w:jc w:val="both"/>
        <w:tabs>
          <w:tab w:val="left" w:pos="2280"/>
        </w:tabs>
      </w:pPr>
      <w:rPr>
        <w:shd w:val="clear"/>
        <w:sz w:val="20"/>
        <w:szCs w:val="20"/>
        <w:w w:val="100"/>
      </w:rPr>
      <w:lvlText w:val="%4."/>
    </w:lvl>
    <w:lvl w:ilvl="4">
      <w:lvlJc w:val="left"/>
      <w:numFmt w:val="lowerLetter"/>
      <w:start w:val="1"/>
      <w:suff w:val="tab"/>
      <w:pPr>
        <w:ind w:left="2700" w:hanging="420"/>
        <w:jc w:val="both"/>
        <w:tabs>
          <w:tab w:val="left" w:pos="2700"/>
        </w:tabs>
      </w:pPr>
      <w:rPr>
        <w:shd w:val="clear"/>
        <w:sz w:val="20"/>
        <w:szCs w:val="20"/>
        <w:w w:val="100"/>
      </w:rPr>
      <w:lvlText w:val="%5)"/>
    </w:lvl>
    <w:lvl w:ilvl="5">
      <w:lvlJc w:val="right"/>
      <w:numFmt w:val="lowerRoman"/>
      <w:start w:val="1"/>
      <w:suff w:val="tab"/>
      <w:pPr>
        <w:ind w:left="3120" w:hanging="420"/>
        <w:jc w:val="both"/>
        <w:tabs>
          <w:tab w:val="left" w:pos="3120"/>
        </w:tabs>
      </w:pPr>
      <w:rPr>
        <w:shd w:val="clear"/>
        <w:sz w:val="20"/>
        <w:szCs w:val="20"/>
        <w:w w:val="100"/>
      </w:rPr>
      <w:lvlText w:val="%6."/>
    </w:lvl>
    <w:lvl w:ilvl="6">
      <w:lvlJc w:val="left"/>
      <w:numFmt w:val="decimal"/>
      <w:start w:val="1"/>
      <w:suff w:val="tab"/>
      <w:pPr>
        <w:ind w:left="3540" w:hanging="420"/>
        <w:jc w:val="both"/>
        <w:tabs>
          <w:tab w:val="left" w:pos="3540"/>
        </w:tabs>
      </w:pPr>
      <w:rPr>
        <w:shd w:val="clear"/>
        <w:sz w:val="20"/>
        <w:szCs w:val="20"/>
        <w:w w:val="100"/>
      </w:rPr>
      <w:lvlText w:val="%7."/>
    </w:lvl>
    <w:lvl w:ilvl="7">
      <w:lvlJc w:val="left"/>
      <w:numFmt w:val="lowerLetter"/>
      <w:start w:val="1"/>
      <w:suff w:val="tab"/>
      <w:pPr>
        <w:ind w:left="3960" w:hanging="420"/>
        <w:jc w:val="both"/>
        <w:tabs>
          <w:tab w:val="left" w:pos="3960"/>
        </w:tabs>
      </w:pPr>
      <w:rPr>
        <w:shd w:val="clear"/>
        <w:sz w:val="20"/>
        <w:szCs w:val="20"/>
        <w:w w:val="100"/>
      </w:rPr>
      <w:lvlText w:val="%8)"/>
    </w:lvl>
    <w:lvl w:ilvl="8">
      <w:lvlJc w:val="right"/>
      <w:numFmt w:val="lowerRoman"/>
      <w:start w:val="1"/>
      <w:suff w:val="tab"/>
      <w:pPr>
        <w:ind w:left="4380" w:hanging="420"/>
        <w:jc w:val="both"/>
        <w:tabs>
          <w:tab w:val="left" w:pos="4380"/>
        </w:tabs>
      </w:pPr>
      <w:rPr>
        <w:shd w:val="clear"/>
        <w:sz w:val="20"/>
        <w:szCs w:val="20"/>
        <w:w w:val="100"/>
      </w:rPr>
      <w:lvlText w:val="%9."/>
    </w:lvl>
  </w:abstractNum>
  <w:abstractNum w:abstractNumId="6">
    <w:multiLevelType w:val="multilevel"/>
    <w:nsid w:val="2F000006"/>
    <w:tmpl w:val="1F00166B"/>
    <w:lvl w:ilvl="0">
      <w:lvlJc w:val="left"/>
      <w:numFmt w:val="decimal"/>
      <w:start w:val="1"/>
      <w:suff w:val="tab"/>
      <w:pPr>
        <w:ind w:left="360" w:hanging="360"/>
        <w:jc w:val="both"/>
      </w:pPr>
      <w:rPr>
        <w:color w:val="000000"/>
        <w:b w:val="0"/>
        <w:shd w:val="clear"/>
        <w:sz w:val="20"/>
        <w:szCs w:val="20"/>
        <w:w w:val="100"/>
      </w:rPr>
      <w:lvlText w:val="%1."/>
    </w:lvl>
    <w:lvl w:ilvl="1">
      <w:lvlJc w:val="left"/>
      <w:numFmt w:val="lowerLetter"/>
      <w:start w:val="1"/>
      <w:suff w:val="tab"/>
      <w:pPr>
        <w:ind w:left="840" w:hanging="420"/>
        <w:jc w:val="both"/>
      </w:pPr>
      <w:rPr>
        <w:shd w:val="clear"/>
        <w:sz w:val="20"/>
        <w:szCs w:val="20"/>
        <w:w w:val="100"/>
      </w:rPr>
      <w:lvlText w:val="%2)"/>
    </w:lvl>
    <w:lvl w:ilvl="2">
      <w:lvlJc w:val="right"/>
      <w:numFmt w:val="lowerRoman"/>
      <w:start w:val="1"/>
      <w:suff w:val="tab"/>
      <w:pPr>
        <w:ind w:left="1260" w:hanging="420"/>
        <w:jc w:val="both"/>
      </w:pPr>
      <w:rPr>
        <w:shd w:val="clear"/>
        <w:sz w:val="20"/>
        <w:szCs w:val="20"/>
        <w:w w:val="100"/>
      </w:rPr>
      <w:lvlText w:val="%3."/>
    </w:lvl>
    <w:lvl w:ilvl="3">
      <w:lvlJc w:val="left"/>
      <w:numFmt w:val="decimal"/>
      <w:start w:val="1"/>
      <w:suff w:val="tab"/>
      <w:pPr>
        <w:ind w:left="1680" w:hanging="420"/>
        <w:jc w:val="both"/>
      </w:pPr>
      <w:rPr>
        <w:shd w:val="clear"/>
        <w:sz w:val="20"/>
        <w:szCs w:val="20"/>
        <w:w w:val="100"/>
      </w:rPr>
      <w:lvlText w:val="%4."/>
    </w:lvl>
    <w:lvl w:ilvl="4">
      <w:lvlJc w:val="left"/>
      <w:numFmt w:val="lowerLetter"/>
      <w:start w:val="1"/>
      <w:suff w:val="tab"/>
      <w:pPr>
        <w:ind w:left="2100" w:hanging="420"/>
        <w:jc w:val="both"/>
      </w:pPr>
      <w:rPr>
        <w:shd w:val="clear"/>
        <w:sz w:val="20"/>
        <w:szCs w:val="20"/>
        <w:w w:val="100"/>
      </w:rPr>
      <w:lvlText w:val="%5)"/>
    </w:lvl>
    <w:lvl w:ilvl="5">
      <w:lvlJc w:val="right"/>
      <w:numFmt w:val="lowerRoman"/>
      <w:start w:val="1"/>
      <w:suff w:val="tab"/>
      <w:pPr>
        <w:ind w:left="2520" w:hanging="420"/>
        <w:jc w:val="both"/>
      </w:pPr>
      <w:rPr>
        <w:shd w:val="clear"/>
        <w:sz w:val="20"/>
        <w:szCs w:val="20"/>
        <w:w w:val="100"/>
      </w:rPr>
      <w:lvlText w:val="%6."/>
    </w:lvl>
    <w:lvl w:ilvl="6">
      <w:lvlJc w:val="left"/>
      <w:numFmt w:val="decimal"/>
      <w:start w:val="1"/>
      <w:suff w:val="tab"/>
      <w:pPr>
        <w:ind w:left="2940" w:hanging="420"/>
        <w:jc w:val="both"/>
      </w:pPr>
      <w:rPr>
        <w:shd w:val="clear"/>
        <w:sz w:val="20"/>
        <w:szCs w:val="20"/>
        <w:w w:val="100"/>
      </w:rPr>
      <w:lvlText w:val="%7."/>
    </w:lvl>
    <w:lvl w:ilvl="7">
      <w:lvlJc w:val="left"/>
      <w:numFmt w:val="lowerLetter"/>
      <w:start w:val="1"/>
      <w:suff w:val="tab"/>
      <w:pPr>
        <w:ind w:left="3360" w:hanging="420"/>
        <w:jc w:val="both"/>
      </w:pPr>
      <w:rPr>
        <w:shd w:val="clear"/>
        <w:sz w:val="20"/>
        <w:szCs w:val="20"/>
        <w:w w:val="100"/>
      </w:rPr>
      <w:lvlText w:val="%8)"/>
    </w:lvl>
    <w:lvl w:ilvl="8">
      <w:lvlJc w:val="right"/>
      <w:numFmt w:val="lowerRoman"/>
      <w:start w:val="1"/>
      <w:suff w:val="tab"/>
      <w:pPr>
        <w:ind w:left="3780" w:hanging="420"/>
        <w:jc w:val="both"/>
      </w:pPr>
      <w:rPr>
        <w:shd w:val="clear"/>
        <w:sz w:val="20"/>
        <w:szCs w:val="20"/>
        <w:w w:val="100"/>
      </w:rPr>
      <w:lvlText w:val="%9."/>
    </w:lvl>
  </w:abstractNum>
  <w:abstractNum w:abstractNumId="7">
    <w:multiLevelType w:val="hybridMultilevel"/>
    <w:nsid w:val="2F000007"/>
    <w:tmpl w:val="1F003957"/>
    <w:lvl w:ilvl="0">
      <w:lvlJc w:val="left"/>
      <w:numFmt w:val="bullet"/>
      <w:start w:val="1"/>
      <w:suff w:val="tab"/>
      <w:pPr>
        <w:ind w:left="760" w:hanging="360"/>
        <w:jc w:val="both"/>
        <w:tabs>
          <w:tab w:val="left" w:pos="760"/>
        </w:tabs>
      </w:pPr>
      <w:rPr>
        <w:rFonts w:ascii="宋体" w:eastAsia="宋体" w:hAnsi="宋体"/>
        <w:shd w:val="clear"/>
        <w:sz w:val="16"/>
        <w:szCs w:val="16"/>
        <w:w w:val="100"/>
      </w:rPr>
      <w:lvlText w:val="□"/>
    </w:lvl>
    <w:lvl w:ilvl="1">
      <w:lvlJc w:val="left"/>
      <w:numFmt w:val="bullet"/>
      <w:start w:val="1"/>
      <w:suff w:val="tab"/>
      <w:pPr>
        <w:ind w:left="1480" w:hanging="360"/>
        <w:jc w:val="both"/>
        <w:tabs>
          <w:tab w:val="left" w:pos="1480"/>
        </w:tabs>
      </w:pPr>
      <w:rPr>
        <w:rFonts w:ascii="Wingdings" w:eastAsia="Wingdings" w:hAnsi="Wingdings"/>
        <w:b/>
        <w:shd w:val="clear"/>
        <w:sz w:val="18"/>
        <w:szCs w:val="18"/>
        <w:w w:val="100"/>
      </w:rPr>
      <w:lvlText w:val="x"/>
    </w:lvl>
    <w:lvl w:ilvl="2">
      <w:lvlJc w:val="left"/>
      <w:numFmt w:val="bullet"/>
      <w:start w:val="1"/>
      <w:suff w:val="tab"/>
      <w:pPr>
        <w:ind w:left="2200" w:hanging="360"/>
        <w:jc w:val="both"/>
        <w:tabs>
          <w:tab w:val="left" w:pos="2200"/>
        </w:tabs>
      </w:pPr>
      <w:rPr>
        <w:rFonts w:ascii="Wingdings" w:eastAsia="Wingdings" w:hAnsi="Wingdings"/>
        <w:shd w:val="clear"/>
        <w:sz w:val="20"/>
        <w:szCs w:val="20"/>
        <w:w w:val="100"/>
      </w:rPr>
      <w:lvlText w:val="§"/>
    </w:lvl>
    <w:lvl w:ilvl="3">
      <w:lvlJc w:val="left"/>
      <w:numFmt w:val="bullet"/>
      <w:start w:val="1"/>
      <w:suff w:val="tab"/>
      <w:pPr>
        <w:ind w:left="2920" w:hanging="360"/>
        <w:jc w:val="both"/>
        <w:tabs>
          <w:tab w:val="left" w:pos="2920"/>
        </w:tabs>
      </w:pPr>
      <w:rPr>
        <w:rFonts w:ascii="Symbol" w:eastAsia="Symbol" w:hAnsi="Symbol"/>
        <w:shd w:val="clear"/>
        <w:sz w:val="20"/>
        <w:szCs w:val="20"/>
        <w:w w:val="100"/>
      </w:rPr>
      <w:lvlText w:val="·"/>
    </w:lvl>
    <w:lvl w:ilvl="4">
      <w:lvlJc w:val="left"/>
      <w:numFmt w:val="bullet"/>
      <w:start w:val="1"/>
      <w:suff w:val="tab"/>
      <w:pPr>
        <w:ind w:left="3640" w:hanging="360"/>
        <w:jc w:val="both"/>
        <w:tabs>
          <w:tab w:val="left" w:pos="3640"/>
        </w:tabs>
      </w:pPr>
      <w:rPr>
        <w:rFonts w:ascii="Courier New" w:eastAsia="Courier New" w:hAnsi="Courier New"/>
        <w:shd w:val="clear"/>
        <w:sz w:val="20"/>
        <w:szCs w:val="20"/>
        <w:w w:val="100"/>
      </w:rPr>
      <w:lvlText w:val="o"/>
    </w:lvl>
    <w:lvl w:ilvl="5">
      <w:lvlJc w:val="left"/>
      <w:numFmt w:val="bullet"/>
      <w:start w:val="1"/>
      <w:suff w:val="tab"/>
      <w:pPr>
        <w:ind w:left="4360" w:hanging="360"/>
        <w:jc w:val="both"/>
        <w:tabs>
          <w:tab w:val="left" w:pos="4360"/>
        </w:tabs>
      </w:pPr>
      <w:rPr>
        <w:rFonts w:ascii="Wingdings" w:eastAsia="Wingdings" w:hAnsi="Wingdings"/>
        <w:shd w:val="clear"/>
        <w:sz w:val="20"/>
        <w:szCs w:val="20"/>
        <w:w w:val="100"/>
      </w:rPr>
      <w:lvlText w:val="§"/>
    </w:lvl>
    <w:lvl w:ilvl="6">
      <w:lvlJc w:val="left"/>
      <w:numFmt w:val="bullet"/>
      <w:start w:val="1"/>
      <w:suff w:val="tab"/>
      <w:pPr>
        <w:ind w:left="5080" w:hanging="360"/>
        <w:jc w:val="both"/>
        <w:tabs>
          <w:tab w:val="left" w:pos="5080"/>
        </w:tabs>
      </w:pPr>
      <w:rPr>
        <w:rFonts w:ascii="Symbol" w:eastAsia="Symbol" w:hAnsi="Symbol"/>
        <w:shd w:val="clear"/>
        <w:sz w:val="20"/>
        <w:szCs w:val="20"/>
        <w:w w:val="100"/>
      </w:rPr>
      <w:lvlText w:val="·"/>
    </w:lvl>
    <w:lvl w:ilvl="7">
      <w:lvlJc w:val="left"/>
      <w:numFmt w:val="bullet"/>
      <w:start w:val="1"/>
      <w:suff w:val="tab"/>
      <w:pPr>
        <w:ind w:left="5800" w:hanging="360"/>
        <w:jc w:val="both"/>
        <w:tabs>
          <w:tab w:val="left" w:pos="5800"/>
        </w:tabs>
      </w:pPr>
      <w:rPr>
        <w:rFonts w:ascii="Courier New" w:eastAsia="Courier New" w:hAnsi="Courier New"/>
        <w:shd w:val="clear"/>
        <w:sz w:val="20"/>
        <w:szCs w:val="20"/>
        <w:w w:val="100"/>
      </w:rPr>
      <w:lvlText w:val="o"/>
    </w:lvl>
    <w:lvl w:ilvl="8">
      <w:lvlJc w:val="left"/>
      <w:numFmt w:val="bullet"/>
      <w:start w:val="1"/>
      <w:suff w:val="tab"/>
      <w:pPr>
        <w:ind w:left="6520" w:hanging="360"/>
        <w:jc w:val="both"/>
        <w:tabs>
          <w:tab w:val="left" w:pos="6520"/>
        </w:tabs>
      </w:pPr>
      <w:rPr>
        <w:rFonts w:ascii="Wingdings" w:eastAsia="Wingdings" w:hAnsi="Wingdings"/>
        <w:shd w:val="clear"/>
        <w:sz w:val="20"/>
        <w:szCs w:val="20"/>
        <w:w w:val="100"/>
      </w:rPr>
      <w:lvlText w:val="§"/>
    </w:lvl>
  </w:abstractNum>
  <w:abstractNum w:abstractNumId="8">
    <w:multiLevelType w:val="hybridMultilevel"/>
    <w:nsid w:val="2F000008"/>
    <w:tmpl w:val="1F0034A9"/>
    <w:lvl w:ilvl="0">
      <w:lvlJc w:val="left"/>
      <w:numFmt w:val="bullet"/>
      <w:start w:val="1"/>
      <w:suff w:val="tab"/>
      <w:pPr>
        <w:ind w:left="760" w:hanging="360"/>
        <w:jc w:val="both"/>
        <w:tabs>
          <w:tab w:val="left" w:pos="760"/>
        </w:tabs>
      </w:pPr>
      <w:rPr>
        <w:rFonts w:ascii="宋体" w:eastAsia="宋体" w:hAnsi="宋体"/>
        <w:shd w:val="clear"/>
        <w:sz w:val="16"/>
        <w:szCs w:val="16"/>
        <w:w w:val="100"/>
      </w:rPr>
      <w:lvlText w:val="□"/>
    </w:lvl>
    <w:lvl w:ilvl="1">
      <w:lvlJc w:val="left"/>
      <w:numFmt w:val="bullet"/>
      <w:start w:val="1"/>
      <w:suff w:val="tab"/>
      <w:pPr>
        <w:ind w:left="1480" w:hanging="360"/>
        <w:jc w:val="both"/>
        <w:tabs>
          <w:tab w:val="left" w:pos="1480"/>
        </w:tabs>
      </w:pPr>
      <w:rPr>
        <w:rFonts w:ascii="Wingdings" w:eastAsia="Wingdings" w:hAnsi="Wingdings"/>
        <w:b/>
        <w:shd w:val="clear"/>
        <w:sz w:val="18"/>
        <w:szCs w:val="18"/>
        <w:w w:val="100"/>
      </w:rPr>
      <w:lvlText w:val="x"/>
    </w:lvl>
    <w:lvl w:ilvl="2">
      <w:lvlJc w:val="left"/>
      <w:numFmt w:val="bullet"/>
      <w:start w:val="1"/>
      <w:suff w:val="tab"/>
      <w:pPr>
        <w:ind w:left="2200" w:hanging="360"/>
        <w:jc w:val="both"/>
        <w:tabs>
          <w:tab w:val="left" w:pos="2200"/>
        </w:tabs>
      </w:pPr>
      <w:rPr>
        <w:rFonts w:ascii="Wingdings" w:eastAsia="Wingdings" w:hAnsi="Wingdings"/>
        <w:shd w:val="clear"/>
        <w:sz w:val="20"/>
        <w:szCs w:val="20"/>
        <w:w w:val="100"/>
      </w:rPr>
      <w:lvlText w:val="§"/>
    </w:lvl>
    <w:lvl w:ilvl="3">
      <w:lvlJc w:val="left"/>
      <w:numFmt w:val="bullet"/>
      <w:start w:val="1"/>
      <w:suff w:val="tab"/>
      <w:pPr>
        <w:ind w:left="2920" w:hanging="360"/>
        <w:jc w:val="both"/>
        <w:tabs>
          <w:tab w:val="left" w:pos="2920"/>
        </w:tabs>
      </w:pPr>
      <w:rPr>
        <w:rFonts w:ascii="Symbol" w:eastAsia="Symbol" w:hAnsi="Symbol"/>
        <w:shd w:val="clear"/>
        <w:sz w:val="20"/>
        <w:szCs w:val="20"/>
        <w:w w:val="100"/>
      </w:rPr>
      <w:lvlText w:val="·"/>
    </w:lvl>
    <w:lvl w:ilvl="4">
      <w:lvlJc w:val="left"/>
      <w:numFmt w:val="bullet"/>
      <w:start w:val="1"/>
      <w:suff w:val="tab"/>
      <w:pPr>
        <w:ind w:left="3640" w:hanging="360"/>
        <w:jc w:val="both"/>
        <w:tabs>
          <w:tab w:val="left" w:pos="3640"/>
        </w:tabs>
      </w:pPr>
      <w:rPr>
        <w:rFonts w:ascii="Courier New" w:eastAsia="Courier New" w:hAnsi="Courier New"/>
        <w:shd w:val="clear"/>
        <w:sz w:val="20"/>
        <w:szCs w:val="20"/>
        <w:w w:val="100"/>
      </w:rPr>
      <w:lvlText w:val="o"/>
    </w:lvl>
    <w:lvl w:ilvl="5">
      <w:lvlJc w:val="left"/>
      <w:numFmt w:val="bullet"/>
      <w:start w:val="1"/>
      <w:suff w:val="tab"/>
      <w:pPr>
        <w:ind w:left="4360" w:hanging="360"/>
        <w:jc w:val="both"/>
        <w:tabs>
          <w:tab w:val="left" w:pos="4360"/>
        </w:tabs>
      </w:pPr>
      <w:rPr>
        <w:rFonts w:ascii="Wingdings" w:eastAsia="Wingdings" w:hAnsi="Wingdings"/>
        <w:shd w:val="clear"/>
        <w:sz w:val="20"/>
        <w:szCs w:val="20"/>
        <w:w w:val="100"/>
      </w:rPr>
      <w:lvlText w:val="§"/>
    </w:lvl>
    <w:lvl w:ilvl="6">
      <w:lvlJc w:val="left"/>
      <w:numFmt w:val="bullet"/>
      <w:start w:val="1"/>
      <w:suff w:val="tab"/>
      <w:pPr>
        <w:ind w:left="5080" w:hanging="360"/>
        <w:jc w:val="both"/>
        <w:tabs>
          <w:tab w:val="left" w:pos="5080"/>
        </w:tabs>
      </w:pPr>
      <w:rPr>
        <w:rFonts w:ascii="Symbol" w:eastAsia="Symbol" w:hAnsi="Symbol"/>
        <w:shd w:val="clear"/>
        <w:sz w:val="20"/>
        <w:szCs w:val="20"/>
        <w:w w:val="100"/>
      </w:rPr>
      <w:lvlText w:val="·"/>
    </w:lvl>
    <w:lvl w:ilvl="7">
      <w:lvlJc w:val="left"/>
      <w:numFmt w:val="bullet"/>
      <w:start w:val="1"/>
      <w:suff w:val="tab"/>
      <w:pPr>
        <w:ind w:left="5800" w:hanging="360"/>
        <w:jc w:val="both"/>
        <w:tabs>
          <w:tab w:val="left" w:pos="5800"/>
        </w:tabs>
      </w:pPr>
      <w:rPr>
        <w:rFonts w:ascii="Courier New" w:eastAsia="Courier New" w:hAnsi="Courier New"/>
        <w:shd w:val="clear"/>
        <w:sz w:val="20"/>
        <w:szCs w:val="20"/>
        <w:w w:val="100"/>
      </w:rPr>
      <w:lvlText w:val="o"/>
    </w:lvl>
    <w:lvl w:ilvl="8">
      <w:lvlJc w:val="left"/>
      <w:numFmt w:val="bullet"/>
      <w:start w:val="1"/>
      <w:suff w:val="tab"/>
      <w:pPr>
        <w:ind w:left="6520" w:hanging="360"/>
        <w:jc w:val="both"/>
        <w:tabs>
          <w:tab w:val="left" w:pos="6520"/>
        </w:tabs>
      </w:pPr>
      <w:rPr>
        <w:rFonts w:ascii="Wingdings" w:eastAsia="Wingdings" w:hAnsi="Wingdings"/>
        <w:shd w:val="clear"/>
        <w:sz w:val="20"/>
        <w:szCs w:val="20"/>
        <w:w w:val="100"/>
      </w:rPr>
      <w:lvlText w:val="§"/>
    </w:lvl>
  </w:abstractNum>
  <w:abstractNum w:abstractNumId="9">
    <w:multiLevelType w:val="hybridMultilevel"/>
    <w:nsid w:val="2F000009"/>
    <w:tmpl w:val="1F002FC8"/>
    <w:lvl w:ilvl="0">
      <w:lvlJc w:val="left"/>
      <w:numFmt w:val="decimal"/>
      <w:start w:val="3"/>
      <w:suff w:val="nothing"/>
      <w:rPr>
        <w:shd w:val="clear"/>
        <w:sz w:val="20"/>
        <w:szCs w:val="20"/>
        <w:w w:val="100"/>
      </w:rPr>
      <w:lvlText w:val="%1、"/>
    </w:lvl>
    <w:lvl w:ilvl="1">
      <w:lvlJc w:val="left"/>
      <w:numFmt w:val="decimal"/>
      <w:start w:val="3"/>
      <w:suff w:val="nothing"/>
      <w:rPr>
        <w:shd w:val="clear"/>
        <w:sz w:val="20"/>
        <w:szCs w:val="20"/>
        <w:w w:val="100"/>
      </w:rPr>
      <w:lvlText w:val="%1、"/>
    </w:lvl>
    <w:lvl w:ilvl="2">
      <w:lvlJc w:val="left"/>
      <w:numFmt w:val="decimal"/>
      <w:start w:val="3"/>
      <w:suff w:val="nothing"/>
      <w:rPr>
        <w:shd w:val="clear"/>
        <w:sz w:val="20"/>
        <w:szCs w:val="20"/>
        <w:w w:val="100"/>
      </w:rPr>
      <w:lvlText w:val="%1、"/>
    </w:lvl>
    <w:lvl w:ilvl="3">
      <w:lvlJc w:val="left"/>
      <w:numFmt w:val="decimal"/>
      <w:start w:val="3"/>
      <w:suff w:val="nothing"/>
      <w:rPr>
        <w:shd w:val="clear"/>
        <w:sz w:val="20"/>
        <w:szCs w:val="20"/>
        <w:w w:val="100"/>
      </w:rPr>
      <w:lvlText w:val="%1、"/>
    </w:lvl>
    <w:lvl w:ilvl="4">
      <w:lvlJc w:val="left"/>
      <w:numFmt w:val="decimal"/>
      <w:start w:val="3"/>
      <w:suff w:val="nothing"/>
      <w:rPr>
        <w:shd w:val="clear"/>
        <w:sz w:val="20"/>
        <w:szCs w:val="20"/>
        <w:w w:val="100"/>
      </w:rPr>
      <w:lvlText w:val="%1、"/>
    </w:lvl>
    <w:lvl w:ilvl="5">
      <w:lvlJc w:val="left"/>
      <w:numFmt w:val="decimal"/>
      <w:start w:val="3"/>
      <w:suff w:val="nothing"/>
      <w:rPr>
        <w:shd w:val="clear"/>
        <w:sz w:val="20"/>
        <w:szCs w:val="20"/>
        <w:w w:val="100"/>
      </w:rPr>
      <w:lvlText w:val="%1、"/>
    </w:lvl>
    <w:lvl w:ilvl="6">
      <w:lvlJc w:val="left"/>
      <w:numFmt w:val="decimal"/>
      <w:start w:val="3"/>
      <w:suff w:val="nothing"/>
      <w:rPr>
        <w:shd w:val="clear"/>
        <w:sz w:val="20"/>
        <w:szCs w:val="20"/>
        <w:w w:val="100"/>
      </w:rPr>
      <w:lvlText w:val="%1、"/>
    </w:lvl>
    <w:lvl w:ilvl="7">
      <w:lvlJc w:val="left"/>
      <w:numFmt w:val="decimal"/>
      <w:start w:val="3"/>
      <w:suff w:val="nothing"/>
      <w:rPr>
        <w:shd w:val="clear"/>
        <w:sz w:val="20"/>
        <w:szCs w:val="20"/>
        <w:w w:val="100"/>
      </w:rPr>
      <w:lvlText w:val="%1、"/>
    </w:lvl>
    <w:lvl w:ilvl="8">
      <w:lvlJc w:val="left"/>
      <w:numFmt w:val="decimal"/>
      <w:start w:val="3"/>
      <w:suff w:val="nothing"/>
      <w:rPr>
        <w:shd w:val="clear"/>
        <w:sz w:val="20"/>
        <w:szCs w:val="20"/>
        <w:w w:val="100"/>
      </w:rPr>
      <w:lvlText w:val="%1、"/>
    </w:lvl>
  </w:abstractNum>
  <w:abstractNum w:abstractNumId="10">
    <w:multiLevelType w:val="hybridMultilevel"/>
    <w:nsid w:val="2F00000A"/>
    <w:tmpl w:val="1F000B24"/>
    <w:lvl w:ilvl="0">
      <w:lvlJc w:val="left"/>
      <w:numFmt w:val="decimal"/>
      <w:start w:val="1"/>
      <w:suff w:val="nothing"/>
      <w:rPr>
        <w:shd w:val="clear"/>
        <w:sz w:val="20"/>
        <w:szCs w:val="20"/>
        <w:w w:val="100"/>
      </w:rPr>
      <w:lvlText w:val="%1、"/>
    </w:lvl>
    <w:lvl w:ilvl="1">
      <w:lvlJc w:val="left"/>
      <w:numFmt w:val="decimal"/>
      <w:start w:val="1"/>
      <w:suff w:val="nothing"/>
      <w:rPr>
        <w:shd w:val="clear"/>
        <w:sz w:val="20"/>
        <w:szCs w:val="20"/>
        <w:w w:val="100"/>
      </w:rPr>
      <w:lvlText w:val="%1、"/>
    </w:lvl>
    <w:lvl w:ilvl="2">
      <w:lvlJc w:val="left"/>
      <w:numFmt w:val="decimal"/>
      <w:start w:val="1"/>
      <w:suff w:val="nothing"/>
      <w:rPr>
        <w:shd w:val="clear"/>
        <w:sz w:val="20"/>
        <w:szCs w:val="20"/>
        <w:w w:val="100"/>
      </w:rPr>
      <w:lvlText w:val="%1、"/>
    </w:lvl>
    <w:lvl w:ilvl="3">
      <w:lvlJc w:val="left"/>
      <w:numFmt w:val="decimal"/>
      <w:start w:val="1"/>
      <w:suff w:val="nothing"/>
      <w:rPr>
        <w:shd w:val="clear"/>
        <w:sz w:val="20"/>
        <w:szCs w:val="20"/>
        <w:w w:val="100"/>
      </w:rPr>
      <w:lvlText w:val="%1、"/>
    </w:lvl>
    <w:lvl w:ilvl="4">
      <w:lvlJc w:val="left"/>
      <w:numFmt w:val="decimal"/>
      <w:start w:val="1"/>
      <w:suff w:val="nothing"/>
      <w:rPr>
        <w:shd w:val="clear"/>
        <w:sz w:val="20"/>
        <w:szCs w:val="20"/>
        <w:w w:val="100"/>
      </w:rPr>
      <w:lvlText w:val="%1、"/>
    </w:lvl>
    <w:lvl w:ilvl="5">
      <w:lvlJc w:val="left"/>
      <w:numFmt w:val="decimal"/>
      <w:start w:val="1"/>
      <w:suff w:val="nothing"/>
      <w:rPr>
        <w:shd w:val="clear"/>
        <w:sz w:val="20"/>
        <w:szCs w:val="20"/>
        <w:w w:val="100"/>
      </w:rPr>
      <w:lvlText w:val="%1、"/>
    </w:lvl>
    <w:lvl w:ilvl="6">
      <w:lvlJc w:val="left"/>
      <w:numFmt w:val="decimal"/>
      <w:start w:val="1"/>
      <w:suff w:val="nothing"/>
      <w:rPr>
        <w:shd w:val="clear"/>
        <w:sz w:val="20"/>
        <w:szCs w:val="20"/>
        <w:w w:val="100"/>
      </w:rPr>
      <w:lvlText w:val="%1、"/>
    </w:lvl>
    <w:lvl w:ilvl="7">
      <w:lvlJc w:val="left"/>
      <w:numFmt w:val="decimal"/>
      <w:start w:val="1"/>
      <w:suff w:val="nothing"/>
      <w:rPr>
        <w:shd w:val="clear"/>
        <w:sz w:val="20"/>
        <w:szCs w:val="20"/>
        <w:w w:val="100"/>
      </w:rPr>
      <w:lvlText w:val="%1、"/>
    </w:lvl>
    <w:lvl w:ilvl="8">
      <w:lvlJc w:val="left"/>
      <w:numFmt w:val="decimal"/>
      <w:start w:val="1"/>
      <w:suff w:val="nothing"/>
      <w:rPr>
        <w:shd w:val="clear"/>
        <w:sz w:val="20"/>
        <w:szCs w:val="20"/>
        <w:w w:val="100"/>
      </w:rPr>
      <w:lvlText w:val="%1、"/>
    </w:lvl>
  </w:abstractNum>
  <w:abstractNum w:abstractNumId="11">
    <w:multiLevelType w:val="hybridMultilevel"/>
    <w:nsid w:val="2F00000B"/>
    <w:tmpl w:val="1F0036F8"/>
    <w:lvl w:ilvl="0">
      <w:lvlJc w:val="left"/>
      <w:numFmt w:val="decimal"/>
      <w:start w:val="1"/>
      <w:suff w:val="nothing"/>
      <w:rPr>
        <w:shd w:val="clear"/>
        <w:sz w:val="20"/>
        <w:szCs w:val="20"/>
        <w:w w:val="100"/>
      </w:rPr>
      <w:lvlText w:val="%1、"/>
    </w:lvl>
    <w:lvl w:ilvl="1">
      <w:lvlJc w:val="left"/>
      <w:numFmt w:val="decimal"/>
      <w:start w:val="1"/>
      <w:suff w:val="nothing"/>
      <w:rPr>
        <w:shd w:val="clear"/>
        <w:sz w:val="20"/>
        <w:szCs w:val="20"/>
        <w:w w:val="100"/>
      </w:rPr>
      <w:lvlText w:val="%1、"/>
    </w:lvl>
    <w:lvl w:ilvl="2">
      <w:lvlJc w:val="left"/>
      <w:numFmt w:val="decimal"/>
      <w:start w:val="1"/>
      <w:suff w:val="nothing"/>
      <w:rPr>
        <w:shd w:val="clear"/>
        <w:sz w:val="20"/>
        <w:szCs w:val="20"/>
        <w:w w:val="100"/>
      </w:rPr>
      <w:lvlText w:val="%1、"/>
    </w:lvl>
    <w:lvl w:ilvl="3">
      <w:lvlJc w:val="left"/>
      <w:numFmt w:val="decimal"/>
      <w:start w:val="1"/>
      <w:suff w:val="nothing"/>
      <w:rPr>
        <w:shd w:val="clear"/>
        <w:sz w:val="20"/>
        <w:szCs w:val="20"/>
        <w:w w:val="100"/>
      </w:rPr>
      <w:lvlText w:val="%1、"/>
    </w:lvl>
    <w:lvl w:ilvl="4">
      <w:lvlJc w:val="left"/>
      <w:numFmt w:val="decimal"/>
      <w:start w:val="1"/>
      <w:suff w:val="nothing"/>
      <w:rPr>
        <w:shd w:val="clear"/>
        <w:sz w:val="20"/>
        <w:szCs w:val="20"/>
        <w:w w:val="100"/>
      </w:rPr>
      <w:lvlText w:val="%1、"/>
    </w:lvl>
    <w:lvl w:ilvl="5">
      <w:lvlJc w:val="left"/>
      <w:numFmt w:val="decimal"/>
      <w:start w:val="1"/>
      <w:suff w:val="nothing"/>
      <w:rPr>
        <w:shd w:val="clear"/>
        <w:sz w:val="20"/>
        <w:szCs w:val="20"/>
        <w:w w:val="100"/>
      </w:rPr>
      <w:lvlText w:val="%1、"/>
    </w:lvl>
    <w:lvl w:ilvl="6">
      <w:lvlJc w:val="left"/>
      <w:numFmt w:val="decimal"/>
      <w:start w:val="1"/>
      <w:suff w:val="nothing"/>
      <w:rPr>
        <w:shd w:val="clear"/>
        <w:sz w:val="20"/>
        <w:szCs w:val="20"/>
        <w:w w:val="100"/>
      </w:rPr>
      <w:lvlText w:val="%1、"/>
    </w:lvl>
    <w:lvl w:ilvl="7">
      <w:lvlJc w:val="left"/>
      <w:numFmt w:val="decimal"/>
      <w:start w:val="1"/>
      <w:suff w:val="nothing"/>
      <w:rPr>
        <w:shd w:val="clear"/>
        <w:sz w:val="20"/>
        <w:szCs w:val="20"/>
        <w:w w:val="100"/>
      </w:rPr>
      <w:lvlText w:val="%1、"/>
    </w:lvl>
    <w:lvl w:ilvl="8">
      <w:lvlJc w:val="left"/>
      <w:numFmt w:val="decimal"/>
      <w:start w:val="1"/>
      <w:suff w:val="nothing"/>
      <w:rPr>
        <w:shd w:val="clear"/>
        <w:sz w:val="20"/>
        <w:szCs w:val="20"/>
        <w:w w:val="100"/>
      </w:rPr>
      <w:lvlText w:val="%1、"/>
    </w:lvl>
  </w:abstractNum>
  <w:abstractNum w:abstractNumId="12">
    <w:multiLevelType w:val="multilevel"/>
    <w:nsid w:val="2F00000C"/>
    <w:tmpl w:val="1F002D78"/>
    <w:lvl w:ilvl="0">
      <w:lvlJc w:val="left"/>
      <w:numFmt w:val="decimal"/>
      <w:start w:val="1"/>
      <w:suff w:val="tab"/>
      <w:pPr>
        <w:ind w:left="360" w:hanging="360"/>
        <w:jc w:val="both"/>
      </w:pPr>
      <w:rPr>
        <w:b w:val="0"/>
        <w:shd w:val="clear"/>
        <w:sz w:val="20"/>
        <w:szCs w:val="20"/>
        <w:w w:val="100"/>
      </w:rPr>
      <w:lvlText w:val="%1."/>
    </w:lvl>
    <w:lvl w:ilvl="1">
      <w:lvlJc w:val="left"/>
      <w:numFmt w:val="lowerLetter"/>
      <w:start w:val="1"/>
      <w:suff w:val="tab"/>
      <w:pPr>
        <w:ind w:left="840" w:hanging="420"/>
        <w:jc w:val="both"/>
      </w:pPr>
      <w:rPr>
        <w:shd w:val="clear"/>
        <w:sz w:val="20"/>
        <w:szCs w:val="20"/>
        <w:w w:val="100"/>
      </w:rPr>
      <w:lvlText w:val="%2)"/>
    </w:lvl>
    <w:lvl w:ilvl="2">
      <w:lvlJc w:val="right"/>
      <w:numFmt w:val="lowerRoman"/>
      <w:start w:val="1"/>
      <w:suff w:val="tab"/>
      <w:pPr>
        <w:ind w:left="1260" w:hanging="420"/>
        <w:jc w:val="both"/>
      </w:pPr>
      <w:rPr>
        <w:shd w:val="clear"/>
        <w:sz w:val="20"/>
        <w:szCs w:val="20"/>
        <w:w w:val="100"/>
      </w:rPr>
      <w:lvlText w:val="%3."/>
    </w:lvl>
    <w:lvl w:ilvl="3">
      <w:lvlJc w:val="left"/>
      <w:numFmt w:val="decimal"/>
      <w:start w:val="1"/>
      <w:suff w:val="tab"/>
      <w:pPr>
        <w:ind w:left="1680" w:hanging="420"/>
        <w:jc w:val="both"/>
      </w:pPr>
      <w:rPr>
        <w:shd w:val="clear"/>
        <w:sz w:val="20"/>
        <w:szCs w:val="20"/>
        <w:w w:val="100"/>
      </w:rPr>
      <w:lvlText w:val="%4."/>
    </w:lvl>
    <w:lvl w:ilvl="4">
      <w:lvlJc w:val="left"/>
      <w:numFmt w:val="lowerLetter"/>
      <w:start w:val="1"/>
      <w:suff w:val="tab"/>
      <w:pPr>
        <w:ind w:left="2100" w:hanging="420"/>
        <w:jc w:val="both"/>
      </w:pPr>
      <w:rPr>
        <w:shd w:val="clear"/>
        <w:sz w:val="20"/>
        <w:szCs w:val="20"/>
        <w:w w:val="100"/>
      </w:rPr>
      <w:lvlText w:val="%5)"/>
    </w:lvl>
    <w:lvl w:ilvl="5">
      <w:lvlJc w:val="right"/>
      <w:numFmt w:val="lowerRoman"/>
      <w:start w:val="1"/>
      <w:suff w:val="tab"/>
      <w:pPr>
        <w:ind w:left="2520" w:hanging="420"/>
        <w:jc w:val="both"/>
      </w:pPr>
      <w:rPr>
        <w:shd w:val="clear"/>
        <w:sz w:val="20"/>
        <w:szCs w:val="20"/>
        <w:w w:val="100"/>
      </w:rPr>
      <w:lvlText w:val="%6."/>
    </w:lvl>
    <w:lvl w:ilvl="6">
      <w:lvlJc w:val="left"/>
      <w:numFmt w:val="decimal"/>
      <w:start w:val="1"/>
      <w:suff w:val="tab"/>
      <w:pPr>
        <w:ind w:left="2940" w:hanging="420"/>
        <w:jc w:val="both"/>
      </w:pPr>
      <w:rPr>
        <w:shd w:val="clear"/>
        <w:sz w:val="20"/>
        <w:szCs w:val="20"/>
        <w:w w:val="100"/>
      </w:rPr>
      <w:lvlText w:val="%7."/>
    </w:lvl>
    <w:lvl w:ilvl="7">
      <w:lvlJc w:val="left"/>
      <w:numFmt w:val="lowerLetter"/>
      <w:start w:val="1"/>
      <w:suff w:val="tab"/>
      <w:pPr>
        <w:ind w:left="3360" w:hanging="420"/>
        <w:jc w:val="both"/>
      </w:pPr>
      <w:rPr>
        <w:shd w:val="clear"/>
        <w:sz w:val="20"/>
        <w:szCs w:val="20"/>
        <w:w w:val="100"/>
      </w:rPr>
      <w:lvlText w:val="%8)"/>
    </w:lvl>
    <w:lvl w:ilvl="8">
      <w:lvlJc w:val="right"/>
      <w:numFmt w:val="lowerRoman"/>
      <w:start w:val="1"/>
      <w:suff w:val="tab"/>
      <w:pPr>
        <w:ind w:left="3780" w:hanging="420"/>
        <w:jc w:val="both"/>
      </w:pPr>
      <w:rPr>
        <w:shd w:val="clear"/>
        <w:sz w:val="20"/>
        <w:szCs w:val="20"/>
        <w:w w:val="100"/>
      </w:rPr>
      <w:lvlText w:val="%9."/>
    </w:lvl>
  </w:abstractNum>
  <w:abstractNum w:abstractNumId="13">
    <w:multiLevelType w:val="multilevel"/>
    <w:nsid w:val="2F00000D"/>
    <w:tmpl w:val="1F0020DD"/>
    <w:lvl w:ilvl="0">
      <w:lvlJc w:val="left"/>
      <w:numFmt w:val="decimal"/>
      <w:start w:val="1"/>
      <w:suff w:val="tab"/>
      <w:pPr>
        <w:ind w:left="360" w:hanging="360"/>
        <w:jc w:val="both"/>
      </w:pPr>
      <w:rPr>
        <w:color w:val="000000"/>
        <w:b w:val="0"/>
        <w:shd w:val="clear"/>
        <w:sz w:val="20"/>
        <w:szCs w:val="20"/>
        <w:w w:val="100"/>
      </w:rPr>
      <w:lvlText w:val="%1."/>
    </w:lvl>
    <w:lvl w:ilvl="1">
      <w:lvlJc w:val="left"/>
      <w:numFmt w:val="lowerLetter"/>
      <w:start w:val="1"/>
      <w:suff w:val="tab"/>
      <w:pPr>
        <w:ind w:left="840" w:hanging="420"/>
        <w:jc w:val="both"/>
      </w:pPr>
      <w:rPr>
        <w:shd w:val="clear"/>
        <w:sz w:val="20"/>
        <w:szCs w:val="20"/>
        <w:w w:val="100"/>
      </w:rPr>
      <w:lvlText w:val="%2)"/>
    </w:lvl>
    <w:lvl w:ilvl="2">
      <w:lvlJc w:val="right"/>
      <w:numFmt w:val="lowerRoman"/>
      <w:start w:val="1"/>
      <w:suff w:val="tab"/>
      <w:pPr>
        <w:ind w:left="1260" w:hanging="420"/>
        <w:jc w:val="both"/>
      </w:pPr>
      <w:rPr>
        <w:shd w:val="clear"/>
        <w:sz w:val="20"/>
        <w:szCs w:val="20"/>
        <w:w w:val="100"/>
      </w:rPr>
      <w:lvlText w:val="%3."/>
    </w:lvl>
    <w:lvl w:ilvl="3">
      <w:lvlJc w:val="left"/>
      <w:numFmt w:val="decimal"/>
      <w:start w:val="1"/>
      <w:suff w:val="tab"/>
      <w:pPr>
        <w:ind w:left="1680" w:hanging="420"/>
        <w:jc w:val="both"/>
      </w:pPr>
      <w:rPr>
        <w:shd w:val="clear"/>
        <w:sz w:val="20"/>
        <w:szCs w:val="20"/>
        <w:w w:val="100"/>
      </w:rPr>
      <w:lvlText w:val="%4."/>
    </w:lvl>
    <w:lvl w:ilvl="4">
      <w:lvlJc w:val="left"/>
      <w:numFmt w:val="lowerLetter"/>
      <w:start w:val="1"/>
      <w:suff w:val="tab"/>
      <w:pPr>
        <w:ind w:left="2100" w:hanging="420"/>
        <w:jc w:val="both"/>
      </w:pPr>
      <w:rPr>
        <w:shd w:val="clear"/>
        <w:sz w:val="20"/>
        <w:szCs w:val="20"/>
        <w:w w:val="100"/>
      </w:rPr>
      <w:lvlText w:val="%5)"/>
    </w:lvl>
    <w:lvl w:ilvl="5">
      <w:lvlJc w:val="right"/>
      <w:numFmt w:val="lowerRoman"/>
      <w:start w:val="1"/>
      <w:suff w:val="tab"/>
      <w:pPr>
        <w:ind w:left="2520" w:hanging="420"/>
        <w:jc w:val="both"/>
      </w:pPr>
      <w:rPr>
        <w:shd w:val="clear"/>
        <w:sz w:val="20"/>
        <w:szCs w:val="20"/>
        <w:w w:val="100"/>
      </w:rPr>
      <w:lvlText w:val="%6."/>
    </w:lvl>
    <w:lvl w:ilvl="6">
      <w:lvlJc w:val="left"/>
      <w:numFmt w:val="decimal"/>
      <w:start w:val="1"/>
      <w:suff w:val="tab"/>
      <w:pPr>
        <w:ind w:left="2940" w:hanging="420"/>
        <w:jc w:val="both"/>
      </w:pPr>
      <w:rPr>
        <w:shd w:val="clear"/>
        <w:sz w:val="20"/>
        <w:szCs w:val="20"/>
        <w:w w:val="100"/>
      </w:rPr>
      <w:lvlText w:val="%7."/>
    </w:lvl>
    <w:lvl w:ilvl="7">
      <w:lvlJc w:val="left"/>
      <w:numFmt w:val="lowerLetter"/>
      <w:start w:val="1"/>
      <w:suff w:val="tab"/>
      <w:pPr>
        <w:ind w:left="3360" w:hanging="420"/>
        <w:jc w:val="both"/>
      </w:pPr>
      <w:rPr>
        <w:shd w:val="clear"/>
        <w:sz w:val="20"/>
        <w:szCs w:val="20"/>
        <w:w w:val="100"/>
      </w:rPr>
      <w:lvlText w:val="%8)"/>
    </w:lvl>
    <w:lvl w:ilvl="8">
      <w:lvlJc w:val="right"/>
      <w:numFmt w:val="lowerRoman"/>
      <w:start w:val="1"/>
      <w:suff w:val="tab"/>
      <w:pPr>
        <w:ind w:left="3780" w:hanging="420"/>
        <w:jc w:val="both"/>
      </w:pPr>
      <w:rPr>
        <w:shd w:val="clear"/>
        <w:sz w:val="20"/>
        <w:szCs w:val="20"/>
        <w:w w:val="100"/>
      </w:rPr>
      <w:lvlText w:val="%9."/>
    </w:lvl>
  </w:abstractNum>
  <w:num w:numId="1">
    <w:abstractNumId w:val="9"/>
  </w:num>
  <w:num w:numId="2">
    <w:abstractNumId w:val="8"/>
  </w:num>
  <w:num w:numId="3">
    <w:abstractNumId w:val="7"/>
  </w:num>
  <w:num w:numId="4">
    <w:abstractNumId w:val="10"/>
  </w:num>
  <w:num w:numId="5">
    <w:abstractNumId w:val="3"/>
  </w:num>
  <w:num w:numId="6">
    <w:abstractNumId w:val="6"/>
  </w:num>
  <w:num w:numId="7">
    <w:abstractNumId w:val="13"/>
  </w:num>
  <w:num w:numId="8">
    <w:abstractNumId w:val="2"/>
  </w:num>
  <w:num w:numId="9">
    <w:abstractNumId w:val="12"/>
  </w:num>
  <w:num w:numId="10">
    <w:abstractNumId w:val="0"/>
  </w:num>
  <w:num w:numId="11">
    <w:abstractNumId w:val="4"/>
  </w:num>
  <w:num w:numId="12">
    <w:abstractNumId w:val="1"/>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noLineBreaksAfter w:lang="ko-KR" w:val="$([{£¥·‘“〈《「『【〔〖〝﹙﹛﹝＄（．［｛￡￥"/>
  <w:noLineBreaksBefore w:lang="ko-KR" w:val="$([{£¥·‘“〈《「『【〔〖〝﹙﹛﹝＄（．［｛￡￥"/>
  <w:hdrShapeDefaults>
    <o:shapedefaults v:ext="edit" spidmax="2050"/>
    <o:shapelayout v:ext="edit">
      <o:idmap v:ext="edit" data="1"/>
    </o:shapelayout>
  </w:hdrShapeDefaults>
  <w:compat>
    <w:balanceSingleByteDoubleByteWidth/>
    <w:adjustLineHeightInTable/>
    <w:useFELayout/>
    <w:compatSetting w:name="compatibilityMode" w:uri="http://schemas.microsoft.com/office/word" w:val="15"/>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Times New Roman" w:eastAsia="Times New Roman" w:hAnsi="Times New Roman"/>
        <w:shd w:val="clear"/>
        <w:sz w:val="20"/>
        <w:szCs w:val="20"/>
        <w:w w:val="100"/>
      </w:rPr>
    </w:rPrDefault>
  </w:docDefaults>
  <w:style w:default="1" w:styleId="PO1" w:type="paragraph">
    <w:name w:val="Normal"/>
    <w:qFormat/>
    <w:uiPriority w:val="1"/>
    <w:pPr>
      <w:autoSpaceDE w:val="1"/>
      <w:autoSpaceDN w:val="1"/>
      <w:jc w:val="both"/>
      <w:widowControl/>
      <w:wordWrap/>
    </w:pPr>
    <w:rPr>
      <w:shd w:val="clear"/>
      <w:sz w:val="21"/>
      <w:szCs w:val="21"/>
      <w:w w:val="100"/>
    </w:r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Balloon Text"/>
    <w:basedOn w:val="PO1"/>
    <w:link w:val="PO153"/>
    <w:uiPriority w:val="152"/>
    <w:rPr>
      <w:shd w:val="clear"/>
      <w:sz w:val="18"/>
      <w:szCs w:val="18"/>
      <w:w w:val="100"/>
    </w:rPr>
  </w:style>
  <w:style w:customStyle="1" w:styleId="PO153" w:type="character">
    <w:name w:val="批注框文本 Char"/>
    <w:basedOn w:val="PO2"/>
    <w:link w:val="PO152"/>
    <w:uiPriority w:val="153"/>
    <w:semiHidden/>
    <w:rPr>
      <w:rFonts w:ascii="宋体" w:eastAsia="Times New Roman" w:hAnsi="宋体"/>
      <w:shd w:val="clear"/>
      <w:sz w:val="18"/>
      <w:szCs w:val="18"/>
      <w:w w:val="100"/>
    </w:rPr>
  </w:style>
  <w:style w:styleId="PO154" w:type="paragraph">
    <w:name w:val="footer"/>
    <w:basedOn w:val="PO1"/>
    <w:link w:val="PO155"/>
    <w:uiPriority w:val="154"/>
    <w:pPr>
      <w:autoSpaceDE w:val="1"/>
      <w:autoSpaceDN w:val="1"/>
      <w:tabs>
        <w:tab w:val="center" w:pos="4153"/>
        <w:tab w:val="right" w:pos="8306"/>
      </w:tabs>
      <w:widowControl/>
      <w:wordWrap/>
    </w:pPr>
    <w:rPr>
      <w:shd w:val="clear"/>
      <w:sz w:val="18"/>
      <w:szCs w:val="18"/>
      <w:w w:val="100"/>
    </w:rPr>
  </w:style>
  <w:style w:customStyle="1" w:styleId="PO155" w:type="character">
    <w:name w:val="页脚 Char"/>
    <w:basedOn w:val="PO2"/>
    <w:link w:val="PO154"/>
    <w:uiPriority w:val="155"/>
    <w:rPr>
      <w:rFonts w:ascii="宋体" w:eastAsia="Times New Roman" w:hAnsi="宋体"/>
      <w:shd w:val="clear"/>
      <w:sz w:val="18"/>
      <w:szCs w:val="18"/>
      <w:w w:val="100"/>
    </w:rPr>
  </w:style>
  <w:style w:styleId="PO156" w:type="paragraph">
    <w:name w:val="header"/>
    <w:basedOn w:val="PO1"/>
    <w:link w:val="PO157"/>
    <w:uiPriority w:val="156"/>
    <w:pPr>
      <w:autoSpaceDE w:val="1"/>
      <w:autoSpaceDN w:val="1"/>
      <w:jc w:val="center"/>
      <w:tabs>
        <w:tab w:val="center" w:pos="4153"/>
        <w:tab w:val="right" w:pos="8306"/>
      </w:tabs>
      <w:widowControl/>
      <w:wordWrap/>
    </w:pPr>
    <w:rPr>
      <w:shd w:val="clear"/>
      <w:sz w:val="18"/>
      <w:szCs w:val="18"/>
      <w:w w:val="100"/>
    </w:rPr>
  </w:style>
  <w:style w:customStyle="1" w:styleId="PO157" w:type="character">
    <w:name w:val="页眉 Char"/>
    <w:basedOn w:val="PO2"/>
    <w:link w:val="PO156"/>
    <w:uiPriority w:val="157"/>
    <w:rPr>
      <w:rFonts w:ascii="宋体" w:eastAsia="Times New Roman" w:hAnsi="宋体"/>
      <w:shd w:val="clear"/>
      <w:sz w:val="18"/>
      <w:szCs w:val="18"/>
      <w:w w:val="100"/>
    </w:rPr>
  </w:style>
  <w:style w:styleId="PO158" w:type="paragraph">
    <w:name w:val="Normal (Web)"/>
    <w:basedOn w:val="PO1"/>
    <w:uiPriority w:val="158"/>
    <w:pPr>
      <w:autoSpaceDE w:val="1"/>
      <w:autoSpaceDN w:val="1"/>
      <w:widowControl/>
      <w:wordWrap/>
    </w:pPr>
    <w:rPr>
      <w:rFonts w:ascii="Calibri" w:eastAsia="Calibri" w:hAnsi="Calibri"/>
      <w:shd w:val="clear"/>
      <w:sz w:val="24"/>
      <w:szCs w:val="24"/>
      <w:w w:val="100"/>
    </w:rPr>
  </w:style>
  <w:style w:styleId="PO159" w:type="character">
    <w:name w:val="Hyperlink"/>
    <w:basedOn w:val="PO2"/>
    <w:uiPriority w:val="159"/>
    <w:rPr>
      <w:color w:val="0000FF"/>
      <w:rFonts w:ascii="宋体" w:eastAsia="Times New Roman" w:hAnsi="宋体"/>
      <w:shd w:val="clear"/>
      <w:sz w:val="20"/>
      <w:szCs w:val="20"/>
      <w:u w:val="single"/>
      <w:w w:val="100"/>
    </w:rPr>
  </w:style>
  <w:style w:customStyle="1" w:styleId="PO160" w:type="paragraph">
    <w:name w:val="列出段落1"/>
    <w:basedOn w:val="PO1"/>
    <w:uiPriority w:val="160"/>
    <w:pPr>
      <w:autoSpaceDE w:val="1"/>
      <w:autoSpaceDN w:val="1"/>
      <w:ind w:firstLine="420"/>
      <w:widowControl/>
      <w:wordWrap/>
    </w:pPr>
    <w:rPr>
      <w:rFonts w:ascii="Calibri" w:eastAsia="Calibri" w:hAnsi="Calibri"/>
      <w:shd w:val="clear"/>
      <w:sz w:val="20"/>
      <w:szCs w:val="20"/>
      <w:w w:val="100"/>
    </w:rPr>
  </w:style>
  <w:style w:customStyle="1" w:styleId="PO161" w:type="paragraph">
    <w:name w:val="p0"/>
    <w:basedOn w:val="PO1"/>
    <w:qFormat/>
    <w:uiPriority w:val="161"/>
    <w:pPr>
      <w:ind w:firstLine="0"/>
      <w:widowControl/>
    </w:pPr>
    <w:rPr>
      <w:rFonts w:ascii="宋体" w:eastAsia="宋体" w:hAnsi="宋体"/>
      <w:sz w:val="20"/>
      <w:szCs w:val="20"/>
      <w:w w:val="100"/>
    </w:rPr>
  </w:style>
  <w:style w:customStyle="1" w:styleId="PO162" w:type="paragraph">
    <w:name w:val="Default"/>
    <w:uiPriority w:val="162"/>
    <w:pPr>
      <w:autoSpaceDE w:val="0"/>
      <w:autoSpaceDN w:val="0"/>
      <w:widowControl/>
      <w:wordWrap/>
    </w:pPr>
    <w:rPr>
      <w:color w:val="000000"/>
      <w:shd w:val="clear"/>
      <w:sz w:val="24"/>
      <w:szCs w:val="24"/>
      <w:w w:val="100"/>
    </w:rPr>
  </w:style>
  <w:style w:customStyle="1" w:styleId="PO163" w:type="paragraph">
    <w:name w:val="List Paragraph1"/>
    <w:basedOn w:val="PO1"/>
    <w:uiPriority w:val="163"/>
    <w:pPr>
      <w:autoSpaceDE w:val="1"/>
      <w:autoSpaceDN w:val="1"/>
      <w:ind w:firstLine="420"/>
      <w:widowControl/>
      <w:wordWrap/>
    </w:pPr>
    <w:rPr>
      <w:rFonts w:ascii="Calibri" w:eastAsia="Calibri" w:hAnsi="Calibri"/>
      <w:shd w:val="clear"/>
      <w:sz w:val="20"/>
      <w:szCs w:val="20"/>
      <w:w w:val="100"/>
    </w:rPr>
  </w:style>
  <w:style w:customStyle="1" w:styleId="PO164" w:type="paragraph">
    <w:name w:val="List Paragraph11"/>
    <w:basedOn w:val="PO1"/>
    <w:uiPriority w:val="164"/>
    <w:pPr>
      <w:autoSpaceDE w:val="1"/>
      <w:autoSpaceDN w:val="1"/>
      <w:ind w:firstLine="420"/>
      <w:widowControl/>
      <w:wordWrap/>
    </w:pPr>
    <w:rPr>
      <w:rFonts w:ascii="Calibri" w:eastAsia="Calibri" w:hAnsi="Calibri"/>
      <w:shd w:val="clear"/>
      <w:sz w:val="20"/>
      <w:szCs w:val="20"/>
      <w:w w:val="100"/>
    </w:rPr>
  </w:style>
  <w:style w:customStyle="1" w:styleId="PO165" w:type="character">
    <w:name w:val="apple-converted-space"/>
    <w:basedOn w:val="PO2"/>
    <w:uiPriority w:val="165"/>
    <w:rPr>
      <w:rFonts w:ascii="宋体" w:eastAsia="Times New Roman" w:hAnsi="宋体"/>
      <w:shd w:val="clear"/>
      <w:sz w:val="20"/>
      <w:szCs w:val="20"/>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hyperlink" Target="http://www.zrgy.org/" TargetMode="External"></Relationship><Relationship Id="rId6" Type="http://schemas.openxmlformats.org/officeDocument/2006/relationships/header" Target="header2.xml"></Relationship><Relationship Id="rId7" Type="http://schemas.openxmlformats.org/officeDocument/2006/relationships/footer" Target="footer4.xml"></Relationship><Relationship Id="rId8" Type="http://schemas.openxmlformats.org/officeDocument/2006/relationships/numbering" Target="numbering.xml"></Relationship><Relationship Id="rId9" Type="http://schemas.openxmlformats.org/officeDocument/2006/relationships/theme" Target="theme/theme1.xml"></Relationship></Relationships>
</file>

<file path=word/_rels/header2.xml.rels><?xml version="1.0" encoding="UTF-8"?>
<Relationships xmlns="http://schemas.openxmlformats.org/package/2006/relationships"><Relationship Id="rId1" Type="http://schemas.openxmlformats.org/officeDocument/2006/relationships/image" Target="media/image1.jpeg"></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Company>MS</Company>
  <DocSecurity>0</DocSecurity>
  <HyperlinksChanged>false</HyperlinksChanged>
  <Lines>38</Lines>
  <LinksUpToDate>false</LinksUpToDate>
  <Pages>9</Pages>
  <Paragraphs>10</Paragraphs>
  <Words>802</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李盼</dc:creator>
  <cp:lastModifiedBy/>
  <dc:title>  项目名    项目合作协议</dc:title>
  <dcterms:modified xsi:type="dcterms:W3CDTF">2017-08-10T02:34:00Z</dcterms:modified>
</cp:coreProperties>
</file>